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廊坊市机构编制委员会办公室2017年部门预算信息公开</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w:t>
      </w:r>
      <w:r>
        <w:rPr>
          <w:rFonts w:hint="eastAsia" w:ascii="Times New Roman" w:hAnsi="Times New Roman" w:eastAsia="方正仿宋_GBK" w:cs="Times New Roman"/>
          <w:sz w:val="32"/>
          <w:szCs w:val="32"/>
          <w:lang w:eastAsia="zh-CN"/>
        </w:rPr>
        <w:t>廊坊市</w:t>
      </w:r>
      <w:r>
        <w:rPr>
          <w:rFonts w:ascii="Times New Roman" w:hAnsi="Times New Roman" w:eastAsia="方正仿宋_GBK" w:cs="Times New Roman"/>
          <w:sz w:val="32"/>
          <w:szCs w:val="32"/>
        </w:rPr>
        <w:t>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w:t>
      </w:r>
      <w:r>
        <w:rPr>
          <w:rFonts w:hint="eastAsia" w:ascii="Times New Roman" w:hAnsi="Times New Roman" w:eastAsia="方正仿宋_GBK" w:cs="Times New Roman"/>
          <w:sz w:val="32"/>
          <w:szCs w:val="32"/>
        </w:rPr>
        <w:t>廊坊市机构编制委员会办公室</w:t>
      </w:r>
      <w:r>
        <w:rPr>
          <w:rFonts w:ascii="Times New Roman" w:hAnsi="Times New Roman" w:eastAsia="方正仿宋_GBK" w:cs="Times New Roman"/>
          <w:sz w:val="32"/>
          <w:szCs w:val="32"/>
        </w:rPr>
        <w:t>2017年部门预算公开如下：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Times New Roman" w:hAnsi="Times New Roman" w:eastAsia="方正仿宋_GBK" w:cs="Times New Roman"/>
          <w:b/>
          <w:sz w:val="32"/>
          <w:szCs w:val="32"/>
        </w:rPr>
      </w:pPr>
      <w:r>
        <w:rPr>
          <w:rFonts w:hint="eastAsia" w:ascii="楷体" w:hAnsi="楷体" w:eastAsia="楷体" w:cs="楷体"/>
          <w:b/>
          <w:sz w:val="32"/>
          <w:szCs w:val="32"/>
        </w:rPr>
        <w:t>部门职责：</w:t>
      </w:r>
    </w:p>
    <w:p>
      <w:pPr>
        <w:pStyle w:val="13"/>
        <w:spacing w:line="520" w:lineRule="exact"/>
        <w:ind w:firstLine="640"/>
        <w:rPr>
          <w:rFonts w:ascii="仿宋_GB2312" w:eastAsia="仿宋_GB2312"/>
          <w:sz w:val="32"/>
          <w:szCs w:val="32"/>
        </w:rPr>
      </w:pPr>
      <w:r>
        <w:rPr>
          <w:rFonts w:hint="eastAsia" w:ascii="仿宋_GB2312" w:eastAsia="仿宋_GB2312"/>
          <w:sz w:val="32"/>
          <w:szCs w:val="32"/>
        </w:rPr>
        <w:t>（一）贯彻落实党中央、国务院和省委、省政府关于行政管理体制和机构改革以及机构编制管理的政策法规，组织拟订全市行政管理体制和机构改革以及机构编制管理的政策、规定并监督实施；管理和指导全市各级党政机关，人大、政协、法院、检察院机关，各民主党派、人民团体机关的机构编制工作；管理和指导全市事业单位机构编制工作。</w:t>
      </w:r>
    </w:p>
    <w:p>
      <w:pPr>
        <w:pStyle w:val="13"/>
        <w:spacing w:line="520" w:lineRule="exact"/>
        <w:ind w:firstLine="640"/>
        <w:rPr>
          <w:rFonts w:ascii="仿宋_GB2312" w:eastAsia="仿宋_GB2312"/>
          <w:sz w:val="32"/>
          <w:szCs w:val="32"/>
        </w:rPr>
      </w:pPr>
      <w:r>
        <w:rPr>
          <w:rFonts w:hint="eastAsia" w:ascii="仿宋_GB2312" w:eastAsia="仿宋_GB2312"/>
          <w:sz w:val="32"/>
          <w:szCs w:val="32"/>
        </w:rPr>
        <w:t>（二）组织拟订全市行政管理体制和机构改革总体方案并组织实施。拟订市委、市政府机构改革方案。审核市委、市政府各部门职能配置、机构设置、人员编制和领导职数。审核县（市、区）的行政管理体制和机构改革方案。审核并管理全市各级各类人员编制总额。指导、协调县（市、区）、乡镇行政管理体制和机构改革以及机构编制管理工作。负责综合行政执法试点工作。</w:t>
      </w:r>
    </w:p>
    <w:p>
      <w:pPr>
        <w:pStyle w:val="13"/>
        <w:spacing w:line="520" w:lineRule="exact"/>
        <w:ind w:firstLine="640"/>
        <w:rPr>
          <w:rFonts w:ascii="仿宋_GB2312" w:eastAsia="仿宋_GB2312"/>
          <w:sz w:val="32"/>
          <w:szCs w:val="32"/>
        </w:rPr>
      </w:pPr>
      <w:r>
        <w:rPr>
          <w:rFonts w:hint="eastAsia" w:ascii="仿宋_GB2312" w:eastAsia="仿宋_GB2312"/>
          <w:sz w:val="32"/>
          <w:szCs w:val="32"/>
        </w:rPr>
        <w:t>（三）协调市委、市政府各部门的职能配置及其调整。协调市委各部门之间、市政府各部门之间、市委各部门与市政府各部门之间以及市直各部门与县（市、区）之间的职责分工。研究提出参照公务员法管理事业单位的行政管理职能认定意见。</w:t>
      </w:r>
    </w:p>
    <w:p>
      <w:pPr>
        <w:pStyle w:val="13"/>
        <w:spacing w:line="520" w:lineRule="exact"/>
        <w:ind w:firstLine="640"/>
        <w:rPr>
          <w:rFonts w:ascii="仿宋_GB2312" w:eastAsia="仿宋_GB2312"/>
          <w:sz w:val="32"/>
          <w:szCs w:val="32"/>
        </w:rPr>
      </w:pPr>
      <w:r>
        <w:rPr>
          <w:rFonts w:hint="eastAsia" w:ascii="仿宋_GB2312" w:eastAsia="仿宋_GB2312"/>
          <w:sz w:val="32"/>
          <w:szCs w:val="32"/>
        </w:rPr>
        <w:t>（四）审核或审批市委、市政府及各部门的派出机构的职能配置、机构设置、人员编制和领导职数。审核县（市、区）党委、政府副科级以上机构设置和调整事宜。审核县（市、区）、乡镇机构编制分类。负责省垂直管理部门或双重管理部门需要承办的机构编制有关事宜。</w:t>
      </w:r>
    </w:p>
    <w:p>
      <w:pPr>
        <w:pStyle w:val="13"/>
        <w:spacing w:line="520" w:lineRule="exact"/>
        <w:ind w:firstLine="640"/>
        <w:rPr>
          <w:rFonts w:ascii="仿宋_GB2312" w:eastAsia="仿宋_GB2312"/>
          <w:sz w:val="32"/>
          <w:szCs w:val="32"/>
        </w:rPr>
      </w:pPr>
      <w:r>
        <w:rPr>
          <w:rFonts w:hint="eastAsia" w:ascii="仿宋_GB2312" w:eastAsia="仿宋_GB2312"/>
          <w:sz w:val="32"/>
          <w:szCs w:val="32"/>
        </w:rPr>
        <w:t>（五）审核市人大、市政协、市法院、市检察院、市级各民主党派、人民团体机关的职能配置、机构设置、人员编制和领导职数。审核县（市、区）人大、政协、法院、检察院和各民主党派、人民团体机关副科级以上机构设置和调整事宜。审核因特殊需要设置的相当于县级法院、检察院机构编制事宜。</w:t>
      </w:r>
    </w:p>
    <w:p>
      <w:pPr>
        <w:pStyle w:val="13"/>
        <w:spacing w:line="520" w:lineRule="exact"/>
        <w:ind w:firstLine="640"/>
        <w:rPr>
          <w:rFonts w:ascii="仿宋_GB2312" w:eastAsia="仿宋_GB2312"/>
          <w:sz w:val="32"/>
          <w:szCs w:val="32"/>
        </w:rPr>
      </w:pPr>
      <w:r>
        <w:rPr>
          <w:rFonts w:hint="eastAsia" w:ascii="仿宋_GB2312" w:eastAsia="仿宋_GB2312"/>
          <w:sz w:val="32"/>
          <w:szCs w:val="32"/>
        </w:rPr>
        <w:t>（六）组织拟订全市事业单位管理体制和机构改革方案。贯彻执行各类事业单位人员编制标准和管理办法。审核各县（市、区）事业编制总量和结构。审核或审批市委、市政府直属事业单位或直属事业机构，以及市直部门所属事业单位的机构编制事宜。指导并协调县（市、区）及以下事业单位管理体制改革和机构编制管理工作。审核县（市、区）副科级以上事业单位的机构编制事宜，审批县（市、区）股级事业单位的机构编制事宜；审核上级财政转移支付占可用财力比重超过40%县（市、区）的事业单位机构编制事宜。审核市委、市政府及市直各部门联系的各群众团体的机构编制事宜。负责全市事业单位法人登记管理和监督检查工作。</w:t>
      </w:r>
    </w:p>
    <w:p>
      <w:pPr>
        <w:pStyle w:val="13"/>
        <w:spacing w:line="520" w:lineRule="exact"/>
        <w:ind w:firstLine="640"/>
        <w:rPr>
          <w:rFonts w:ascii="仿宋_GB2312" w:eastAsia="仿宋_GB2312"/>
          <w:sz w:val="32"/>
          <w:szCs w:val="32"/>
        </w:rPr>
      </w:pPr>
      <w:r>
        <w:rPr>
          <w:rFonts w:hint="eastAsia" w:ascii="仿宋_GB2312" w:eastAsia="仿宋_GB2312"/>
          <w:sz w:val="32"/>
          <w:szCs w:val="32"/>
        </w:rPr>
        <w:t>（七）指导全市开发区（园区）行政管理体制改革工作，贯彻执行省级以上开发区（园区）机构编制管理办法。审核省级以上开发区（园区）职能配置、机构设置、人员编制和领导职数。</w:t>
      </w:r>
    </w:p>
    <w:p>
      <w:pPr>
        <w:pStyle w:val="13"/>
        <w:spacing w:line="520" w:lineRule="exact"/>
        <w:ind w:firstLine="640"/>
        <w:rPr>
          <w:rFonts w:ascii="仿宋_GB2312" w:eastAsia="仿宋_GB2312"/>
          <w:sz w:val="32"/>
          <w:szCs w:val="32"/>
        </w:rPr>
      </w:pPr>
      <w:r>
        <w:rPr>
          <w:rFonts w:hint="eastAsia" w:ascii="仿宋_GB2312" w:eastAsia="仿宋_GB2312"/>
          <w:sz w:val="32"/>
          <w:szCs w:val="32"/>
        </w:rPr>
        <w:t>（八）负责机构编制日常管理。负责对全市机构编制的总量控制、动态管理和机构编制标准化工作。负责机构编制实名制管理，以及编制使用核准等工作。建立健全机构编制部门与有关部门的配合制约机制。负责机关事业单位增加人员实行"五口归一"制度的落实，严把机关事业单位进人关。</w:t>
      </w:r>
    </w:p>
    <w:p>
      <w:pPr>
        <w:pStyle w:val="13"/>
        <w:spacing w:line="520" w:lineRule="exact"/>
        <w:ind w:firstLine="640"/>
        <w:rPr>
          <w:rFonts w:ascii="仿宋_GB2312" w:eastAsia="仿宋_GB2312"/>
          <w:sz w:val="32"/>
          <w:szCs w:val="32"/>
        </w:rPr>
      </w:pPr>
      <w:r>
        <w:rPr>
          <w:rFonts w:hint="eastAsia" w:ascii="仿宋_GB2312" w:eastAsia="仿宋_GB2312"/>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pStyle w:val="13"/>
        <w:spacing w:line="520" w:lineRule="exact"/>
        <w:ind w:firstLine="640"/>
        <w:rPr>
          <w:rFonts w:ascii="仿宋_GB2312" w:eastAsia="仿宋_GB2312"/>
          <w:sz w:val="32"/>
          <w:szCs w:val="32"/>
        </w:rPr>
      </w:pPr>
      <w:r>
        <w:rPr>
          <w:rFonts w:hint="eastAsia" w:ascii="仿宋_GB2312" w:eastAsia="仿宋_GB2312"/>
          <w:sz w:val="32"/>
          <w:szCs w:val="32"/>
        </w:rPr>
        <w:t>（十）负责全市机构编制信息化建设。负责全市机构编制统计工作。指导全市党政群机关、事业单位和其他非营利性单位网上名称管理工作。指导县（市、区）机构编制部门电子政务建设和信息化建设工作。</w:t>
      </w:r>
    </w:p>
    <w:p>
      <w:pPr>
        <w:pStyle w:val="7"/>
        <w:ind w:left="0"/>
      </w:pPr>
      <w:r>
        <w:rPr>
          <w:rFonts w:hint="eastAsia" w:ascii="仿宋_GB2312" w:eastAsia="仿宋_GB2312" w:cs="仿宋_GB2312"/>
          <w:sz w:val="32"/>
          <w:szCs w:val="32"/>
        </w:rPr>
        <w:t xml:space="preserve">    </w:t>
      </w:r>
      <w:r>
        <w:rPr>
          <w:rFonts w:hint="eastAsia" w:ascii="仿宋_GB2312" w:eastAsia="仿宋_GB2312"/>
          <w:sz w:val="32"/>
          <w:szCs w:val="32"/>
        </w:rPr>
        <w:t>（十一）</w:t>
      </w:r>
      <w:r>
        <w:rPr>
          <w:rFonts w:hint="eastAsia" w:ascii="仿宋_GB2312" w:eastAsia="仿宋_GB2312" w:cs="仿宋_GB2312"/>
          <w:sz w:val="32"/>
          <w:szCs w:val="32"/>
        </w:rPr>
        <w:t>拟订全市行政审批制度改革总体方案，并组织实施；建立市政府各部门权力清单制度，指导督促各部门取消和下放行政审批事项，拟订规范优化行政审批流程和控制新增行政审批事项的政策措施并组织实施；承担市行政审批制度改革工作领导小组办公室的日常工作。</w:t>
      </w:r>
    </w:p>
    <w:p>
      <w:pPr>
        <w:ind w:firstLine="640" w:firstLineChars="200"/>
        <w:rPr>
          <w:rFonts w:ascii="Times New Roman" w:hAnsi="Times New Roman" w:eastAsia="方正仿宋_GBK" w:cs="Times New Roman"/>
          <w:sz w:val="32"/>
          <w:szCs w:val="32"/>
        </w:rPr>
      </w:pPr>
      <w:r>
        <w:rPr>
          <w:rFonts w:hint="eastAsia" w:ascii="仿宋_GB2312" w:hAnsi="Calibri" w:eastAsia="仿宋_GB2312" w:cs="Times New Roman"/>
          <w:sz w:val="32"/>
          <w:szCs w:val="32"/>
        </w:rPr>
        <w:t>（十二）承办市委、市政府和市机构编制委员会交办的其他事项。</w:t>
      </w:r>
    </w:p>
    <w:p>
      <w:pPr>
        <w:autoSpaceDE w:val="0"/>
        <w:autoSpaceDN w:val="0"/>
        <w:adjustRightInd w:val="0"/>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10"/>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廊坊市机构编制委员会办公室</w:t>
            </w:r>
          </w:p>
        </w:tc>
        <w:tc>
          <w:tcPr>
            <w:tcW w:w="1134" w:type="dxa"/>
            <w:shd w:val="clear" w:color="auto" w:fill="auto"/>
            <w:vAlign w:val="center"/>
          </w:tcPr>
          <w:p>
            <w:pPr>
              <w:spacing w:line="300" w:lineRule="exact"/>
              <w:ind w:firstLine="210" w:firstLineChars="100"/>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正处级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w:t>
      </w:r>
      <w:r>
        <w:rPr>
          <w:rFonts w:hint="eastAsia" w:ascii="Times New Roman" w:hAnsi="Times New Roman" w:eastAsia="方正仿宋_GBK" w:cs="Times New Roman"/>
          <w:sz w:val="32"/>
          <w:szCs w:val="32"/>
        </w:rPr>
        <w:t>市</w:t>
      </w:r>
      <w:r>
        <w:rPr>
          <w:rFonts w:ascii="Times New Roman" w:hAnsi="Times New Roman" w:eastAsia="方正仿宋_GBK" w:cs="Times New Roman"/>
          <w:sz w:val="32"/>
          <w:szCs w:val="32"/>
        </w:rPr>
        <w:t>部门预算的编制实行综合预算制度，即全部收入和支出都反映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w:t>
      </w:r>
    </w:p>
    <w:p>
      <w:pPr>
        <w:ind w:firstLine="640"/>
        <w:rPr>
          <w:rFonts w:hint="eastAsia" w:ascii="楷体" w:hAnsi="楷体" w:eastAsia="楷体" w:cs="楷体"/>
          <w:b/>
          <w:bCs/>
          <w:sz w:val="32"/>
          <w:szCs w:val="32"/>
        </w:rPr>
      </w:pPr>
      <w:r>
        <w:rPr>
          <w:rFonts w:hint="eastAsia" w:ascii="楷体" w:hAnsi="楷体" w:eastAsia="楷体" w:cs="楷体"/>
          <w:b/>
          <w:bCs/>
          <w:sz w:val="32"/>
          <w:szCs w:val="32"/>
        </w:rPr>
        <w:t>1、收入说明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反映本部门当年全部收入。2017年预算收入</w:t>
      </w:r>
      <w:r>
        <w:rPr>
          <w:rFonts w:hint="eastAsia" w:ascii="仿宋_GB2312" w:hAnsi="Calibri" w:eastAsia="仿宋" w:cs="Times New Roman"/>
          <w:sz w:val="28"/>
          <w:szCs w:val="28"/>
        </w:rPr>
        <w:t>543.69</w:t>
      </w:r>
      <w:r>
        <w:rPr>
          <w:rFonts w:ascii="Times New Roman" w:hAnsi="Times New Roman" w:eastAsia="方正仿宋_GBK" w:cs="Times New Roman"/>
          <w:sz w:val="32"/>
          <w:szCs w:val="32"/>
        </w:rPr>
        <w:t>万元，其中：一般公共预算收入</w:t>
      </w:r>
      <w:r>
        <w:rPr>
          <w:rFonts w:hint="eastAsia" w:ascii="仿宋_GB2312" w:hAnsi="Calibri" w:eastAsia="仿宋" w:cs="Times New Roman"/>
          <w:sz w:val="28"/>
          <w:szCs w:val="28"/>
        </w:rPr>
        <w:t>543.69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，政府性基金预算收入0万元，国有资本经营预算收入0万元，其他收入0万元。</w:t>
      </w:r>
      <w:r>
        <w:rPr>
          <w:rFonts w:ascii="Times New Roman" w:hAnsi="Times New Roman" w:eastAsia="方正仿宋_GBK" w:cs="Times New Roman"/>
          <w:sz w:val="32"/>
          <w:szCs w:val="32"/>
        </w:rPr>
        <w:t xml:space="preserve"> </w:t>
      </w:r>
    </w:p>
    <w:p>
      <w:pPr>
        <w:ind w:firstLine="640"/>
        <w:rPr>
          <w:rFonts w:hint="eastAsia" w:ascii="楷体" w:hAnsi="楷体" w:eastAsia="楷体" w:cs="楷体"/>
          <w:b/>
          <w:bCs/>
          <w:sz w:val="32"/>
          <w:szCs w:val="32"/>
        </w:rPr>
      </w:pPr>
      <w:r>
        <w:rPr>
          <w:rFonts w:hint="eastAsia" w:ascii="楷体" w:hAnsi="楷体" w:eastAsia="楷体" w:cs="楷体"/>
          <w:b/>
          <w:bCs/>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廊坊市机构编制委员会办公室</w:t>
      </w:r>
      <w:r>
        <w:rPr>
          <w:rFonts w:ascii="Times New Roman" w:hAnsi="Times New Roman" w:eastAsia="方正仿宋_GBK" w:cs="Times New Roman"/>
          <w:sz w:val="32"/>
          <w:szCs w:val="32"/>
        </w:rPr>
        <w:t>2017年度部门预算中支出预算的总体情况。2017年支出预算</w:t>
      </w:r>
      <w:r>
        <w:rPr>
          <w:rFonts w:hint="eastAsia" w:ascii="仿宋_GB2312" w:hAnsi="Calibri" w:eastAsia="仿宋" w:cs="Times New Roman"/>
          <w:sz w:val="28"/>
          <w:szCs w:val="28"/>
        </w:rPr>
        <w:t>543.69</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429.96</w:t>
      </w:r>
      <w:r>
        <w:rPr>
          <w:rFonts w:ascii="Times New Roman" w:hAnsi="Times New Roman" w:eastAsia="方正仿宋_GBK" w:cs="Times New Roman"/>
          <w:sz w:val="32"/>
          <w:szCs w:val="32"/>
        </w:rPr>
        <w:t>万元，包括人员经费和日常公用经费；项目支出</w:t>
      </w:r>
      <w:r>
        <w:rPr>
          <w:rFonts w:hint="eastAsia" w:ascii="Times New Roman" w:hAnsi="Times New Roman" w:eastAsia="方正仿宋_GBK" w:cs="Times New Roman"/>
          <w:sz w:val="32"/>
          <w:szCs w:val="32"/>
        </w:rPr>
        <w:t>113.73</w:t>
      </w:r>
      <w:r>
        <w:rPr>
          <w:rFonts w:ascii="Times New Roman" w:hAnsi="Times New Roman" w:eastAsia="方正仿宋_GBK" w:cs="Times New Roman"/>
          <w:sz w:val="32"/>
          <w:szCs w:val="32"/>
        </w:rPr>
        <w:t>万元，包括本级支出，主要为</w:t>
      </w:r>
      <w:r>
        <w:rPr>
          <w:rFonts w:hint="eastAsia" w:ascii="Times New Roman" w:hAnsi="Times New Roman" w:eastAsia="方正仿宋_GBK" w:cs="Times New Roman"/>
          <w:sz w:val="32"/>
          <w:szCs w:val="32"/>
        </w:rPr>
        <w:t>事业单位改革经费</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机构改革经费</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行政审批制度改革经费</w:t>
      </w:r>
      <w:r>
        <w:rPr>
          <w:rFonts w:ascii="Times New Roman" w:hAnsi="Times New Roman" w:eastAsia="方正仿宋_GBK" w:cs="Times New Roman"/>
          <w:sz w:val="32"/>
          <w:szCs w:val="32"/>
        </w:rPr>
        <w:t>等。</w:t>
      </w:r>
    </w:p>
    <w:p>
      <w:pPr>
        <w:ind w:firstLine="640"/>
        <w:rPr>
          <w:rFonts w:hint="eastAsia" w:ascii="楷体" w:hAnsi="楷体" w:eastAsia="楷体" w:cs="楷体"/>
          <w:b/>
          <w:bCs/>
          <w:sz w:val="32"/>
          <w:szCs w:val="32"/>
        </w:rPr>
      </w:pPr>
      <w:r>
        <w:rPr>
          <w:rFonts w:hint="eastAsia" w:ascii="楷体" w:hAnsi="楷体" w:eastAsia="楷体" w:cs="楷体"/>
          <w:b/>
          <w:bCs/>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2017年预算收支安排</w:t>
      </w:r>
      <w:r>
        <w:rPr>
          <w:rFonts w:hint="eastAsia" w:ascii="Times New Roman" w:hAnsi="Times New Roman" w:eastAsia="方正仿宋_GBK" w:cs="Times New Roman"/>
          <w:sz w:val="32"/>
          <w:szCs w:val="32"/>
        </w:rPr>
        <w:t>543.69</w:t>
      </w:r>
      <w:r>
        <w:rPr>
          <w:rFonts w:ascii="Times New Roman" w:hAnsi="Times New Roman" w:eastAsia="方正仿宋_GBK" w:cs="Times New Roman"/>
          <w:sz w:val="32"/>
          <w:szCs w:val="32"/>
        </w:rPr>
        <w:t>万元，较2016年预算增加</w:t>
      </w:r>
      <w:r>
        <w:rPr>
          <w:rFonts w:hint="eastAsia" w:ascii="Times New Roman" w:hAnsi="Times New Roman" w:eastAsia="方正仿宋_GBK" w:cs="Times New Roman"/>
          <w:sz w:val="32"/>
          <w:szCs w:val="32"/>
          <w:lang w:val="en-US" w:eastAsia="zh-CN"/>
        </w:rPr>
        <w:t>151</w:t>
      </w:r>
      <w:r>
        <w:rPr>
          <w:rFonts w:ascii="Times New Roman" w:hAnsi="Times New Roman" w:eastAsia="方正仿宋_GBK" w:cs="Times New Roman"/>
          <w:sz w:val="32"/>
          <w:szCs w:val="32"/>
        </w:rPr>
        <w:t>万元，其中：基本支出增加</w:t>
      </w:r>
      <w:r>
        <w:rPr>
          <w:rFonts w:hint="eastAsia" w:ascii="Times New Roman" w:hAnsi="Times New Roman" w:eastAsia="方正仿宋_GBK" w:cs="Times New Roman"/>
          <w:sz w:val="32"/>
          <w:szCs w:val="32"/>
          <w:lang w:val="en-US" w:eastAsia="zh-CN"/>
        </w:rPr>
        <w:t>143</w:t>
      </w:r>
      <w:r>
        <w:rPr>
          <w:rFonts w:ascii="Times New Roman" w:hAnsi="Times New Roman" w:eastAsia="方正仿宋_GBK" w:cs="Times New Roman"/>
          <w:sz w:val="32"/>
          <w:szCs w:val="32"/>
        </w:rPr>
        <w:t>万元，主要为增加人员经费支出；项目支出增加</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机构编制网站</w:t>
      </w:r>
      <w:r>
        <w:rPr>
          <w:rFonts w:ascii="Times New Roman" w:hAnsi="Times New Roman" w:eastAsia="方正仿宋_GBK" w:cs="Times New Roman"/>
          <w:sz w:val="32"/>
          <w:szCs w:val="32"/>
        </w:rPr>
        <w:t>项目支出。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运行经费共计安排</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9.15万元</w:t>
      </w:r>
      <w:r>
        <w:rPr>
          <w:rFonts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rPr>
        <w:t>我单位</w:t>
      </w:r>
      <w:r>
        <w:rPr>
          <w:rFonts w:ascii="Times New Roman" w:hAnsi="Times New Roman" w:eastAsia="方正仿宋_GBK" w:cs="Times New Roman"/>
          <w:sz w:val="32"/>
          <w:szCs w:val="32"/>
        </w:rPr>
        <w:t>办公区</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日常维修、办公用房水电费、办公用房取暖费、办公用房物业管理费</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日常运行支出。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spacing w:line="360" w:lineRule="atLeast"/>
        <w:ind w:firstLine="645"/>
        <w:rPr>
          <w:rFonts w:ascii="Calibri" w:hAnsi="Calibri" w:eastAsia="仿宋" w:cs="Times New Roman"/>
          <w:color w:val="000000"/>
          <w:sz w:val="28"/>
          <w:szCs w:val="32"/>
        </w:rPr>
      </w:pPr>
      <w:r>
        <w:rPr>
          <w:rFonts w:ascii="Times New Roman" w:hAnsi="Times New Roman" w:eastAsia="方正仿宋_GBK" w:cs="Times New Roman"/>
          <w:sz w:val="32"/>
          <w:szCs w:val="32"/>
        </w:rPr>
        <w:t>2017年，我</w:t>
      </w:r>
      <w:r>
        <w:rPr>
          <w:rFonts w:hint="eastAsia" w:ascii="Times New Roman" w:hAnsi="Times New Roman" w:eastAsia="方正仿宋_GBK" w:cs="Times New Roman"/>
          <w:sz w:val="32"/>
          <w:szCs w:val="32"/>
        </w:rPr>
        <w:t>办</w:t>
      </w:r>
      <w:r>
        <w:rPr>
          <w:rFonts w:ascii="Times New Roman" w:hAnsi="Times New Roman" w:eastAsia="方正仿宋_GBK" w:cs="Times New Roman"/>
          <w:sz w:val="32"/>
          <w:szCs w:val="32"/>
        </w:rPr>
        <w:t>“三公”经费预算安排</w:t>
      </w:r>
      <w:r>
        <w:rPr>
          <w:rFonts w:hint="eastAsia" w:ascii="Times New Roman" w:hAnsi="Times New Roman" w:eastAsia="方正仿宋_GBK" w:cs="Times New Roman"/>
          <w:sz w:val="32"/>
          <w:szCs w:val="32"/>
        </w:rPr>
        <w:t>16.99</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16.5</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，公务用车运行费</w:t>
      </w:r>
      <w:r>
        <w:rPr>
          <w:rFonts w:hint="eastAsia" w:ascii="Times New Roman" w:hAnsi="Times New Roman" w:eastAsia="方正仿宋_GBK" w:cs="Times New Roman"/>
          <w:sz w:val="32"/>
          <w:szCs w:val="32"/>
        </w:rPr>
        <w:t>16.5</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0.49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比</w:t>
      </w:r>
      <w:r>
        <w:rPr>
          <w:rFonts w:ascii="Times New Roman" w:hAnsi="Times New Roman" w:eastAsia="方正仿宋_GBK" w:cs="Times New Roman"/>
          <w:sz w:val="32"/>
          <w:szCs w:val="32"/>
        </w:rPr>
        <w:t>2016年减</w:t>
      </w:r>
      <w:r>
        <w:rPr>
          <w:rFonts w:hint="eastAsia" w:ascii="Times New Roman" w:hAnsi="Times New Roman" w:eastAsia="方正仿宋_GBK" w:cs="Times New Roman"/>
          <w:sz w:val="32"/>
          <w:szCs w:val="32"/>
        </w:rPr>
        <w:t>少8.37万元，主要原因是</w:t>
      </w:r>
      <w:r>
        <w:rPr>
          <w:rFonts w:ascii="Times New Roman" w:hAnsi="Times New Roman" w:eastAsia="方正仿宋_GBK" w:cs="Times New Roman"/>
          <w:sz w:val="32"/>
          <w:szCs w:val="32"/>
        </w:rPr>
        <w:t>实行了公车改革，我单位公务用车减少了一辆，故对“三公”经费预算进行了相应的调整。</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Times New Roman" w:hAnsi="Times New Roman" w:eastAsia="方正仿宋_GBK" w:cs="Times New Roman"/>
          <w:b/>
          <w:sz w:val="32"/>
          <w:szCs w:val="32"/>
        </w:rPr>
      </w:pPr>
      <w:bookmarkStart w:id="0" w:name="_Toc471398463"/>
      <w:r>
        <w:rPr>
          <w:rFonts w:hint="eastAsia" w:ascii="楷体" w:hAnsi="楷体" w:eastAsia="楷体" w:cs="楷体"/>
          <w:b/>
          <w:sz w:val="32"/>
          <w:szCs w:val="32"/>
        </w:rPr>
        <w:t>总体绩效目标：</w:t>
      </w:r>
    </w:p>
    <w:p>
      <w:pPr>
        <w:ind w:firstLine="560"/>
        <w:rPr>
          <w:rFonts w:ascii="方正仿宋_GBK" w:hAnsi="Calibri" w:eastAsia="方正仿宋_GBK" w:cs="Times New Roman"/>
          <w:sz w:val="28"/>
        </w:rPr>
      </w:pPr>
      <w:r>
        <w:rPr>
          <w:rFonts w:ascii="方正仿宋_GBK" w:hAnsi="Calibri" w:eastAsia="方正仿宋_GBK" w:cs="Times New Roman"/>
          <w:sz w:val="28"/>
        </w:rPr>
        <w:t>按照市委市政府和省编办总体工作部署，结合实际，2017年廊坊市编办总体发展规划目标是: 按照省、市总体工作部署和要求，继续深化政府机构改革和重点领域体制改革，开展市级机关内设机构改革和精简人员编制工作，确保我市政府职能转变和机构改革取得良好效果。继续做好全市事业单位分类改革工作,不断加强事业单位管理,提高事业单位公益服务水平。进一步深化行政审批制度改革，转变政府职能,坚持放管结合，规范权力运行，完善市场服务体系。严格落实财政供养人员只减不增总要求和全市控编减编工作方案，扎实推进机构编制实名制管理, 严格执行编制使用核准制度，创新机构编制管理,优化机构编制结构,为我市经济社会发展提供可靠机构编制保障。</w:t>
      </w:r>
    </w:p>
    <w:p>
      <w:pPr>
        <w:ind w:firstLine="560"/>
        <w:rPr>
          <w:rFonts w:ascii="方正仿宋_GBK" w:hAnsi="Calibri" w:eastAsia="方正仿宋_GBK" w:cs="Times New Roman"/>
          <w:sz w:val="28"/>
        </w:rPr>
      </w:pPr>
      <w:r>
        <w:rPr>
          <w:rFonts w:ascii="方正仿宋_GBK" w:hAnsi="Calibri" w:eastAsia="方正仿宋_GBK" w:cs="Times New Roman"/>
          <w:sz w:val="28"/>
        </w:rPr>
        <w:t>重点完成政府职能转变和市级机关内设机构改革工作，行政类和生产经营类事业单位的改革工作，深化行政审批制度改革工作，严格落实好中央关于本届政府内财政供养人员只减不增要求、省市有关会议文件精神，做好相关具体工作。</w:t>
      </w:r>
    </w:p>
    <w:p>
      <w:pPr>
        <w:ind w:firstLine="560"/>
        <w:rPr>
          <w:rFonts w:ascii="方正仿宋_GBK" w:hAnsi="Calibri" w:eastAsia="方正仿宋_GBK" w:cs="Times New Roman"/>
          <w:sz w:val="28"/>
        </w:rPr>
      </w:pPr>
      <w:r>
        <w:rPr>
          <w:rFonts w:ascii="方正仿宋_GBK" w:hAnsi="Calibri" w:eastAsia="方正仿宋_GBK" w:cs="Times New Roman"/>
          <w:sz w:val="28"/>
        </w:rPr>
        <w:t>通过进一步深化政府机构改革和重点领域体制机制改革工作。加强对各县（市、区）指导，确保各项改革措施落实到位。按照省确定的原则和比例，对市级机关内设机构进行优化整合，强化符合市委、市政府战略部署需要的内设机构。同时，按照省确定比例，精简人员编制。</w:t>
      </w:r>
    </w:p>
    <w:p>
      <w:pPr>
        <w:ind w:firstLine="560"/>
        <w:rPr>
          <w:rFonts w:ascii="方正仿宋_GBK" w:hAnsi="Calibri" w:eastAsia="方正仿宋_GBK" w:cs="Times New Roman"/>
          <w:sz w:val="28"/>
        </w:rPr>
      </w:pPr>
      <w:r>
        <w:rPr>
          <w:rFonts w:ascii="方正仿宋_GBK" w:hAnsi="Calibri" w:eastAsia="方正仿宋_GBK" w:cs="Times New Roman"/>
          <w:sz w:val="28"/>
        </w:rPr>
        <w:t>通过规范行政审批流程，健全完善市政府部门权力清单、责任清单动态管理机制。扎实做好衔接国务院、省政府取消和下放行政审批事项工作。继续做好行政审批中介服务事项清理规范工作。持续开展相对集中行政审批权改革试点工作，组建行政审批局。未纳入相对集中行政审批权改革试点的县（市、区），参照市级模式，全面开展“两集中、两到位”改革。</w:t>
      </w:r>
    </w:p>
    <w:p>
      <w:pPr>
        <w:ind w:firstLine="560"/>
        <w:rPr>
          <w:rFonts w:ascii="方正仿宋_GBK" w:hAnsi="Calibri" w:eastAsia="方正仿宋_GBK" w:cs="Times New Roman"/>
          <w:sz w:val="28"/>
        </w:rPr>
      </w:pPr>
      <w:r>
        <w:rPr>
          <w:rFonts w:ascii="方正仿宋_GBK" w:hAnsi="Calibri" w:eastAsia="方正仿宋_GBK" w:cs="Times New Roman"/>
          <w:sz w:val="28"/>
        </w:rPr>
        <w:t>通过积极稳妥、循序渐进推进事业单位分类改革工作，重点做好全市行政类和生产经营类事业单位的改革，不断加强事业单位管理，提高我市事业单位公益服务化水平。</w:t>
      </w:r>
    </w:p>
    <w:p>
      <w:pPr>
        <w:ind w:firstLine="560"/>
        <w:rPr>
          <w:rFonts w:ascii="方正仿宋_GBK" w:hAnsi="Calibri" w:eastAsia="方正仿宋_GBK" w:cs="Times New Roman"/>
          <w:sz w:val="28"/>
        </w:rPr>
      </w:pPr>
      <w:r>
        <w:rPr>
          <w:rFonts w:ascii="方正仿宋_GBK" w:hAnsi="Calibri" w:eastAsia="方正仿宋_GBK" w:cs="Times New Roman"/>
          <w:sz w:val="28"/>
        </w:rPr>
        <w:t>通过进一步理顺现有园区（开发区）管理体制，加强对园区（开发区）编制和职责运行执行情况的跟踪评估，推动各类园区（开发区）和产业聚集区健康发展。根据园区（开发区）建设进度和经济运行情况，积极推进园区（开发区）管理机构报批工作。</w:t>
      </w:r>
    </w:p>
    <w:p>
      <w:pPr>
        <w:ind w:firstLine="560"/>
        <w:rPr>
          <w:rFonts w:ascii="方正仿宋_GBK" w:hAnsi="Calibri" w:eastAsia="方正仿宋_GBK" w:cs="Times New Roman"/>
          <w:sz w:val="28"/>
        </w:rPr>
      </w:pPr>
      <w:r>
        <w:rPr>
          <w:rFonts w:ascii="方正仿宋_GBK" w:hAnsi="Calibri" w:eastAsia="方正仿宋_GBK" w:cs="Times New Roman"/>
          <w:sz w:val="28"/>
        </w:rPr>
        <w:t>通过严格执行编制使用核准制度，把好人员入口关，确保我市财政供养人员只减不增。继续开展市、县两级控编减编工作方案执行情况专项督查，确保全市各类编制总量不突破上级核定数量。</w:t>
      </w:r>
    </w:p>
    <w:p>
      <w:pPr>
        <w:ind w:firstLine="560"/>
        <w:rPr>
          <w:rFonts w:ascii="方正仿宋_GBK" w:hAnsi="Calibri" w:eastAsia="方正仿宋_GBK" w:cs="Times New Roman"/>
          <w:sz w:val="28"/>
        </w:rPr>
      </w:pPr>
      <w:r>
        <w:rPr>
          <w:rFonts w:ascii="方正仿宋_GBK" w:hAnsi="Calibri" w:eastAsia="方正仿宋_GBK" w:cs="Times New Roman"/>
          <w:sz w:val="28"/>
        </w:rPr>
        <w:t>通过探索开展机构编制执行情况的跟踪评估，了解和掌握评估对象的机构运转、编制执行情况，进一步优化调整机构编制、提升机构编制管理科学化水平，逐步实现机构编制跟踪评估常态化、制度化。</w:t>
      </w:r>
    </w:p>
    <w:p>
      <w:pPr>
        <w:ind w:firstLine="560"/>
        <w:rPr>
          <w:rFonts w:ascii="方正仿宋_GBK" w:hAnsi="Calibri" w:eastAsia="方正仿宋_GBK" w:cs="Times New Roman"/>
          <w:sz w:val="28"/>
        </w:rPr>
      </w:pPr>
      <w:r>
        <w:rPr>
          <w:rFonts w:ascii="方正仿宋_GBK" w:hAnsi="Calibri" w:eastAsia="方正仿宋_GBK" w:cs="Times New Roman"/>
          <w:sz w:val="28"/>
        </w:rPr>
        <w:t>通过继续严格落实《事业单位登记管理暂行条例》、《事业单位登记管理暂行条例实施细则》的要求，继续做好事业单位网上登记及年度报告公示，不断强化我市事业单位管理，探索加强对事业单位事中事后监管的创新管理机制。同时，按照省编办文件精神，切实做好市直机关、市编办直接管理机构编制的群众团体统一社会信用代码赋码工作。</w:t>
      </w:r>
    </w:p>
    <w:p>
      <w:pPr>
        <w:ind w:firstLine="560"/>
        <w:rPr>
          <w:rFonts w:ascii="方正仿宋_GBK" w:hAnsi="Calibri" w:eastAsia="方正仿宋_GBK" w:cs="Times New Roman"/>
          <w:sz w:val="28"/>
        </w:rPr>
      </w:pPr>
    </w:p>
    <w:p>
      <w:pPr>
        <w:ind w:firstLine="560"/>
        <w:rPr>
          <w:rFonts w:hint="eastAsia" w:ascii="楷体" w:hAnsi="楷体" w:eastAsia="楷体" w:cs="楷体"/>
          <w:b/>
          <w:bCs/>
          <w:sz w:val="28"/>
        </w:rPr>
      </w:pPr>
      <w:r>
        <w:rPr>
          <w:rFonts w:hint="eastAsia" w:ascii="楷体" w:hAnsi="楷体" w:eastAsia="楷体" w:cs="楷体"/>
          <w:b/>
          <w:bCs/>
          <w:sz w:val="32"/>
          <w:szCs w:val="24"/>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234廊坊市机构编制委员会办公室</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行政管理体制改革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49.00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地方性法规草案并监督实施：探索解决职能交叉问题；促进政府职能转变，积极构建科学的行政管理体制；健全政府职责体系，完善公共服务体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地方性法规草案并监督实施：探索大部制，解决职能交叉。建设服务型政府，着力转变职能、理顺关系、优化结构、提高效能，形成权责一致、分工合理、决策科学、执行顺畅、监督有力的行政管理体制。健全政府职责体系，完善公共服务体系</w:t>
            </w:r>
            <w:r>
              <w:rPr>
                <w:rFonts w:ascii="方正书宋_GBK" w:eastAsia="方正书宋_GBK"/>
              </w:rPr>
              <w:t>.</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行政单位管理体制和机构改革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35.00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市委、市政府机构改革方案；审核管理市委、市政府各部门职能配置、机构设置、人员编制和领导职数；审核各县政府行政管理体制和机构改革方案；审核管理全市各级各类人员编制总额；指导、协调县、乡镇、各类功能园区体制改革和机构改革以及机构编制管理工作；组织开展综合行政执法试点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推进市、县政府机构改革</w:t>
            </w:r>
            <w:r>
              <w:rPr>
                <w:rFonts w:ascii="方正书宋_GBK" w:eastAsia="方正书宋_GBK"/>
              </w:rPr>
              <w:t>,</w:t>
            </w:r>
            <w:r>
              <w:rPr>
                <w:rFonts w:hint="eastAsia" w:ascii="方正书宋_GBK" w:eastAsia="方正书宋_GBK"/>
              </w:rPr>
              <w:t>党群政法部门体制改革</w:t>
            </w:r>
            <w:r>
              <w:rPr>
                <w:rFonts w:ascii="方正书宋_GBK" w:eastAsia="方正书宋_GBK"/>
              </w:rPr>
              <w:t>,</w:t>
            </w:r>
            <w:r>
              <w:rPr>
                <w:rFonts w:hint="eastAsia" w:ascii="方正书宋_GBK" w:eastAsia="方正书宋_GBK"/>
              </w:rPr>
              <w:t>经济发达镇行政管理体制改革试点，乡镇行政体制改革</w:t>
            </w:r>
            <w:r>
              <w:rPr>
                <w:rFonts w:ascii="方正书宋_GBK" w:eastAsia="方正书宋_GBK"/>
              </w:rPr>
              <w:t>,</w:t>
            </w:r>
            <w:r>
              <w:rPr>
                <w:rFonts w:hint="eastAsia" w:ascii="方正书宋_GBK" w:eastAsia="方正书宋_GBK"/>
              </w:rPr>
              <w:t>综合行政执法试点</w:t>
            </w:r>
            <w:r>
              <w:rPr>
                <w:rFonts w:ascii="方正书宋_GBK" w:eastAsia="方正书宋_GBK"/>
              </w:rPr>
              <w:t>,</w:t>
            </w:r>
            <w:r>
              <w:rPr>
                <w:rFonts w:hint="eastAsia" w:ascii="方正书宋_GBK" w:eastAsia="方正书宋_GBK"/>
              </w:rPr>
              <w:t>各类功能园区管理体制机制改革。</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行政改革目标完成率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行政改革目标完成率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行政改革目标完成率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事业单位管理体制和机构改革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14.00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做好事业单位分类工作；做好各部门所属事业单位分类改革工作；加强对各县分类工作的督导，积极稳妥推进县分类工作；规范事业单位台账管理。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扎实推进事业单位分类改革</w:t>
            </w:r>
            <w:r>
              <w:rPr>
                <w:rFonts w:ascii="方正书宋_GBK" w:eastAsia="方正书宋_GBK"/>
              </w:rPr>
              <w:t>,</w:t>
            </w:r>
            <w:r>
              <w:rPr>
                <w:rFonts w:hint="eastAsia" w:ascii="方正书宋_GBK" w:eastAsia="方正书宋_GBK"/>
              </w:rPr>
              <w:t>扎实推进事业单位法人治理结构试点工作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事业改革目标完成率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事业改革目标完成率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事业改革目标完成率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机构编制管理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22.18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审核或审批市委、市政府、各级党政、人大、政协法院、检察院机关，各民主党派、人民团体机关的机构编制管理事宜；负责全市事业单位法人登记管理和监督检查工作。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审核或审批市委、市政府、各级党政、人大、政协法院、检察院机关，各民主党派、人民团体机关的机构编制管理事宜；负责全市事业单位法人登记管理和监督检查工作。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机构编制监管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3.70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开展机构编制实名制及人员编制使用情况核准，机构编制执行情况跟踪评估和监督检查工作；指导全市党政群机关、事业单位和其他非营利性单位网上名称管理工作。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全面推行实名制管理和编制使用核准</w:t>
            </w:r>
            <w:r>
              <w:rPr>
                <w:rFonts w:ascii="方正书宋_GBK" w:eastAsia="方正书宋_GBK"/>
              </w:rPr>
              <w:t>,</w:t>
            </w:r>
            <w:r>
              <w:rPr>
                <w:rFonts w:hint="eastAsia" w:ascii="方正书宋_GBK" w:eastAsia="方正书宋_GBK"/>
              </w:rPr>
              <w:t>及时查处机构编制违法违纪案件</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实名制管理推行率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机构编制标准化管理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完成全市</w:t>
            </w:r>
            <w:r>
              <w:rPr>
                <w:rFonts w:ascii="方正书宋_GBK" w:eastAsia="方正书宋_GBK"/>
              </w:rPr>
              <w:t>2017</w:t>
            </w:r>
            <w:r>
              <w:rPr>
                <w:rFonts w:hint="eastAsia" w:ascii="方正书宋_GBK" w:eastAsia="方正书宋_GBK"/>
              </w:rPr>
              <w:t>年度机构编制统计上报工作。组织开展机关事业单位机构编制标准体系研究；制定全市机关事业单位编制总量标准、机关事业单位具体机构编制标准；研究编制总量确定、动态管理的运行机制；组织开展编制工作理论研究。</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探索适应我市发展的机关事业单位机构编制标准</w:t>
            </w:r>
            <w:r>
              <w:rPr>
                <w:rFonts w:ascii="方正书宋_GBK" w:eastAsia="方正书宋_GBK"/>
              </w:rPr>
              <w:t>,</w:t>
            </w:r>
            <w:r>
              <w:rPr>
                <w:rFonts w:hint="eastAsia" w:ascii="方正书宋_GBK" w:eastAsia="方正书宋_GBK"/>
              </w:rPr>
              <w:t>形成有价值的研究成果。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研究课题成果数量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个及以上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个</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个</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个以下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研究课题成果数量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个及以上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个</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r>
              <w:rPr>
                <w:rFonts w:hint="eastAsia" w:ascii="方正书宋_GBK" w:eastAsia="方正书宋_GBK"/>
              </w:rPr>
              <w:t>个</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个以下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标准体系数建设数量</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事业单位法人登记管理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15.48</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负责全市事业单位法人登记管理和监督检查工作。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加强完善事业单位登记管理工作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事业单位登记管理率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事业单位登记管理率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事业单位登记管理率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促进政府职能转变</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17.20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政府购买行业协会服务工作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研究制定政府转移职能目录、购买主体单位目录。及时完成</w:t>
            </w:r>
            <w:r>
              <w:rPr>
                <w:rFonts w:ascii="方正书宋_GBK" w:eastAsia="方正书宋_GBK"/>
              </w:rPr>
              <w:t>2017</w:t>
            </w:r>
            <w:r>
              <w:rPr>
                <w:rFonts w:hint="eastAsia" w:ascii="方正书宋_GBK" w:eastAsia="方正书宋_GBK"/>
              </w:rPr>
              <w:t>年政府购买行业协会临时性服务工作。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完成政府转移职能目录、购买主体单位目录制定。及时完成</w:t>
            </w:r>
            <w:r>
              <w:rPr>
                <w:rFonts w:ascii="方正书宋_GBK" w:eastAsia="方正书宋_GBK"/>
              </w:rPr>
              <w:t>2015</w:t>
            </w:r>
            <w:r>
              <w:rPr>
                <w:rFonts w:hint="eastAsia" w:ascii="方正书宋_GBK" w:eastAsia="方正书宋_GBK"/>
              </w:rPr>
              <w:t>年政府购买行业协会临时性服务工作。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目录工作完成率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目录工作完成率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目录工作完成率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目录工作完成率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行政审批改革</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17.20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取消和下放行政审批项目的承接工作。全面清理市本级行政审批项目。最大限度地向基层、市场和社会放权。进一步优化行政审批流程。开展改革试点加强对市县审改工作指导和培训。加强审改工作制度化、规范化和标准化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进一步优化行政审批流程</w:t>
            </w:r>
            <w:r>
              <w:rPr>
                <w:rFonts w:ascii="方正书宋_GBK" w:eastAsia="方正书宋_GBK"/>
              </w:rPr>
              <w:t>,</w:t>
            </w:r>
            <w:r>
              <w:rPr>
                <w:rFonts w:hint="eastAsia" w:ascii="方正书宋_GBK" w:eastAsia="方正书宋_GBK"/>
              </w:rPr>
              <w:t>加强审改工作制度化、规范化和标准化建设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对市县审改工作督导的覆盖率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行政审批项目清理工作的完成率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行政审批取消下放率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编办事务管理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25.35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做好机关人员管理及保障工作，为充分发挥职能作用提供有效保障。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加强机关党组织建设，严格组织生活制度，丰富党建活动内容，做好党员发展、教育、管理和党务干部的教育培训工作，充分发挥党组织的战斗堡垒作用和党员的先锋模范作用。</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25.35</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全市机构编制信息管理系统、电子政务和机构编制网站的建设和管理，全市机构编制统计、数据分析工作；指导下级机构编制部门电子政务建设和信息化建设工作；负责机关人事、劳资、行政后勤、财务和资产管理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机构编制信息平台和网站运行</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机构编制信息平台和网站运行</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机构编制信息平台和网站运行</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机构编制信息平台和网站运行</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及以上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bookmarkStart w:id="1" w:name="_Toc471398468"/>
      <w:r>
        <w:rPr>
          <w:rFonts w:ascii="Times New Roman" w:hAnsi="Times New Roman" w:eastAsia="方正仿宋_GBK" w:cs="Times New Roman"/>
          <w:sz w:val="32"/>
          <w:szCs w:val="24"/>
        </w:rPr>
        <w:t xml:space="preserve">   2017年，我</w:t>
      </w:r>
      <w:r>
        <w:rPr>
          <w:rFonts w:hint="eastAsia" w:ascii="Times New Roman" w:hAnsi="Times New Roman" w:eastAsia="方正仿宋_GBK" w:cs="Times New Roman"/>
          <w:sz w:val="32"/>
          <w:szCs w:val="24"/>
        </w:rPr>
        <w:t>办</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12.5</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10"/>
        <w:tblW w:w="153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7"/>
        <w:gridCol w:w="1126"/>
        <w:gridCol w:w="927"/>
        <w:gridCol w:w="1526"/>
        <w:gridCol w:w="928"/>
        <w:gridCol w:w="928"/>
        <w:gridCol w:w="961"/>
        <w:gridCol w:w="928"/>
        <w:gridCol w:w="928"/>
        <w:gridCol w:w="928"/>
        <w:gridCol w:w="928"/>
        <w:gridCol w:w="928"/>
        <w:gridCol w:w="934"/>
        <w:gridCol w:w="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91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234廊坊市机构编制委员会办公室</w:t>
            </w:r>
          </w:p>
        </w:tc>
        <w:tc>
          <w:tcPr>
            <w:tcW w:w="644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643"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2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2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92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92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443"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5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2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27" w:type="dxa"/>
            <w:vMerge w:val="continue"/>
            <w:shd w:val="clear" w:color="auto" w:fill="auto"/>
            <w:vAlign w:val="center"/>
          </w:tcPr>
          <w:p>
            <w:pPr>
              <w:spacing w:line="300" w:lineRule="exact"/>
              <w:jc w:val="left"/>
              <w:outlineLvl w:val="0"/>
            </w:pPr>
          </w:p>
        </w:tc>
        <w:tc>
          <w:tcPr>
            <w:tcW w:w="1526" w:type="dxa"/>
            <w:vMerge w:val="continue"/>
            <w:shd w:val="clear" w:color="auto" w:fill="auto"/>
            <w:vAlign w:val="center"/>
          </w:tcPr>
          <w:p>
            <w:pPr>
              <w:spacing w:line="300" w:lineRule="exact"/>
              <w:jc w:val="left"/>
              <w:outlineLvl w:val="0"/>
            </w:pPr>
          </w:p>
        </w:tc>
        <w:tc>
          <w:tcPr>
            <w:tcW w:w="928" w:type="dxa"/>
            <w:vMerge w:val="continue"/>
            <w:shd w:val="clear" w:color="auto" w:fill="auto"/>
            <w:vAlign w:val="center"/>
          </w:tcPr>
          <w:p>
            <w:pPr>
              <w:spacing w:line="300" w:lineRule="exact"/>
              <w:jc w:val="left"/>
              <w:outlineLvl w:val="0"/>
            </w:pPr>
          </w:p>
        </w:tc>
        <w:tc>
          <w:tcPr>
            <w:tcW w:w="928" w:type="dxa"/>
            <w:vMerge w:val="continue"/>
            <w:shd w:val="clear" w:color="auto" w:fill="auto"/>
            <w:vAlign w:val="center"/>
          </w:tcPr>
          <w:p>
            <w:pPr>
              <w:spacing w:line="300" w:lineRule="exact"/>
              <w:jc w:val="left"/>
              <w:outlineLvl w:val="0"/>
            </w:pPr>
          </w:p>
        </w:tc>
        <w:tc>
          <w:tcPr>
            <w:tcW w:w="961" w:type="dxa"/>
            <w:vMerge w:val="continue"/>
            <w:shd w:val="clear" w:color="auto" w:fill="auto"/>
            <w:vAlign w:val="center"/>
          </w:tcPr>
          <w:p>
            <w:pPr>
              <w:spacing w:line="300" w:lineRule="exact"/>
              <w:jc w:val="left"/>
              <w:outlineLvl w:val="0"/>
            </w:pPr>
          </w:p>
        </w:tc>
        <w:tc>
          <w:tcPr>
            <w:tcW w:w="92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646"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6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517" w:type="dxa"/>
            <w:vMerge w:val="continue"/>
            <w:shd w:val="clear" w:color="auto" w:fill="auto"/>
            <w:vAlign w:val="center"/>
          </w:tcPr>
          <w:p>
            <w:pPr>
              <w:spacing w:line="300" w:lineRule="exact"/>
              <w:jc w:val="left"/>
              <w:outlineLvl w:val="0"/>
            </w:pPr>
          </w:p>
        </w:tc>
        <w:tc>
          <w:tcPr>
            <w:tcW w:w="1126" w:type="dxa"/>
            <w:vMerge w:val="continue"/>
            <w:shd w:val="clear" w:color="auto" w:fill="auto"/>
            <w:vAlign w:val="center"/>
          </w:tcPr>
          <w:p>
            <w:pPr>
              <w:spacing w:line="300" w:lineRule="exact"/>
              <w:jc w:val="left"/>
              <w:outlineLvl w:val="0"/>
            </w:pPr>
          </w:p>
        </w:tc>
        <w:tc>
          <w:tcPr>
            <w:tcW w:w="927" w:type="dxa"/>
            <w:vMerge w:val="continue"/>
            <w:shd w:val="clear" w:color="auto" w:fill="auto"/>
            <w:vAlign w:val="center"/>
          </w:tcPr>
          <w:p>
            <w:pPr>
              <w:spacing w:line="300" w:lineRule="exact"/>
              <w:jc w:val="left"/>
              <w:outlineLvl w:val="0"/>
            </w:pPr>
          </w:p>
        </w:tc>
        <w:tc>
          <w:tcPr>
            <w:tcW w:w="1526" w:type="dxa"/>
            <w:vMerge w:val="continue"/>
            <w:shd w:val="clear" w:color="auto" w:fill="auto"/>
            <w:vAlign w:val="center"/>
          </w:tcPr>
          <w:p>
            <w:pPr>
              <w:spacing w:line="300" w:lineRule="exact"/>
              <w:jc w:val="left"/>
              <w:outlineLvl w:val="0"/>
            </w:pPr>
          </w:p>
        </w:tc>
        <w:tc>
          <w:tcPr>
            <w:tcW w:w="928" w:type="dxa"/>
            <w:vMerge w:val="continue"/>
            <w:shd w:val="clear" w:color="auto" w:fill="auto"/>
            <w:vAlign w:val="center"/>
          </w:tcPr>
          <w:p>
            <w:pPr>
              <w:spacing w:line="300" w:lineRule="exact"/>
              <w:jc w:val="left"/>
              <w:outlineLvl w:val="0"/>
            </w:pPr>
          </w:p>
        </w:tc>
        <w:tc>
          <w:tcPr>
            <w:tcW w:w="928" w:type="dxa"/>
            <w:vMerge w:val="continue"/>
            <w:shd w:val="clear" w:color="auto" w:fill="auto"/>
            <w:vAlign w:val="center"/>
          </w:tcPr>
          <w:p>
            <w:pPr>
              <w:spacing w:line="300" w:lineRule="exact"/>
              <w:jc w:val="left"/>
              <w:outlineLvl w:val="0"/>
            </w:pPr>
          </w:p>
        </w:tc>
        <w:tc>
          <w:tcPr>
            <w:tcW w:w="961" w:type="dxa"/>
            <w:vMerge w:val="continue"/>
            <w:shd w:val="clear" w:color="auto" w:fill="auto"/>
            <w:vAlign w:val="center"/>
          </w:tcPr>
          <w:p>
            <w:pPr>
              <w:spacing w:line="300" w:lineRule="exact"/>
              <w:jc w:val="left"/>
              <w:outlineLvl w:val="0"/>
            </w:pPr>
          </w:p>
        </w:tc>
        <w:tc>
          <w:tcPr>
            <w:tcW w:w="928" w:type="dxa"/>
            <w:vMerge w:val="continue"/>
            <w:shd w:val="clear" w:color="auto" w:fill="auto"/>
            <w:vAlign w:val="center"/>
          </w:tcPr>
          <w:p>
            <w:pPr>
              <w:spacing w:line="300" w:lineRule="exact"/>
              <w:jc w:val="left"/>
              <w:outlineLvl w:val="0"/>
            </w:pPr>
          </w:p>
        </w:tc>
        <w:tc>
          <w:tcPr>
            <w:tcW w:w="9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69"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廊坊市机构编制委员会办公室小计</w:t>
            </w:r>
          </w:p>
        </w:tc>
        <w:tc>
          <w:tcPr>
            <w:tcW w:w="1126" w:type="dxa"/>
            <w:shd w:val="clear" w:color="auto" w:fill="auto"/>
            <w:vAlign w:val="center"/>
          </w:tcPr>
          <w:p>
            <w:pPr>
              <w:spacing w:line="300" w:lineRule="exact"/>
              <w:jc w:val="right"/>
              <w:rPr>
                <w:rFonts w:ascii="方正书宋_GBK" w:eastAsia="方正书宋_GBK"/>
                <w:b/>
              </w:rPr>
            </w:pPr>
          </w:p>
        </w:tc>
        <w:tc>
          <w:tcPr>
            <w:tcW w:w="927" w:type="dxa"/>
            <w:shd w:val="clear" w:color="auto" w:fill="auto"/>
            <w:vAlign w:val="center"/>
          </w:tcPr>
          <w:p>
            <w:pPr>
              <w:spacing w:line="300" w:lineRule="exact"/>
              <w:jc w:val="left"/>
              <w:rPr>
                <w:rFonts w:ascii="方正书宋_GBK" w:eastAsia="方正书宋_GBK"/>
                <w:b/>
              </w:rPr>
            </w:pPr>
          </w:p>
        </w:tc>
        <w:tc>
          <w:tcPr>
            <w:tcW w:w="1526" w:type="dxa"/>
            <w:shd w:val="clear" w:color="auto" w:fill="auto"/>
            <w:vAlign w:val="center"/>
          </w:tcPr>
          <w:p>
            <w:pPr>
              <w:spacing w:line="300" w:lineRule="exact"/>
              <w:jc w:val="left"/>
              <w:rPr>
                <w:rFonts w:ascii="方正书宋_GBK" w:eastAsia="方正书宋_GBK"/>
                <w:b/>
              </w:rPr>
            </w:pPr>
          </w:p>
        </w:tc>
        <w:tc>
          <w:tcPr>
            <w:tcW w:w="928" w:type="dxa"/>
            <w:shd w:val="clear" w:color="auto" w:fill="auto"/>
            <w:vAlign w:val="center"/>
          </w:tcPr>
          <w:p>
            <w:pPr>
              <w:spacing w:line="300" w:lineRule="exact"/>
              <w:jc w:val="left"/>
              <w:rPr>
                <w:rFonts w:ascii="方正书宋_GBK" w:eastAsia="方正书宋_GBK"/>
                <w:b/>
              </w:rPr>
            </w:pPr>
          </w:p>
        </w:tc>
        <w:tc>
          <w:tcPr>
            <w:tcW w:w="928" w:type="dxa"/>
            <w:shd w:val="clear" w:color="auto" w:fill="auto"/>
            <w:vAlign w:val="center"/>
          </w:tcPr>
          <w:p>
            <w:pPr>
              <w:spacing w:line="300" w:lineRule="exact"/>
              <w:jc w:val="right"/>
              <w:rPr>
                <w:rFonts w:ascii="方正书宋_GBK" w:eastAsia="方正书宋_GBK"/>
                <w:b/>
              </w:rPr>
            </w:pPr>
          </w:p>
        </w:tc>
        <w:tc>
          <w:tcPr>
            <w:tcW w:w="961" w:type="dxa"/>
            <w:shd w:val="clear" w:color="auto" w:fill="auto"/>
            <w:vAlign w:val="center"/>
          </w:tcPr>
          <w:p>
            <w:pPr>
              <w:spacing w:line="300" w:lineRule="exact"/>
              <w:jc w:val="right"/>
              <w:rPr>
                <w:rFonts w:ascii="方正书宋_GBK" w:eastAsia="方正书宋_GBK"/>
                <w:b/>
              </w:rPr>
            </w:pPr>
          </w:p>
        </w:tc>
        <w:tc>
          <w:tcPr>
            <w:tcW w:w="928" w:type="dxa"/>
            <w:shd w:val="clear" w:color="auto" w:fill="auto"/>
            <w:vAlign w:val="center"/>
          </w:tcPr>
          <w:p>
            <w:pPr>
              <w:spacing w:line="300" w:lineRule="exact"/>
              <w:jc w:val="right"/>
              <w:rPr>
                <w:rFonts w:ascii="方正书宋_GBK" w:eastAsia="方正书宋_GBK"/>
                <w:b/>
              </w:rPr>
            </w:pPr>
            <w:r>
              <w:rPr>
                <w:rFonts w:ascii="方正书宋_GBK" w:eastAsia="方正书宋_GBK"/>
                <w:b/>
              </w:rPr>
              <w:t>12.50</w:t>
            </w:r>
          </w:p>
        </w:tc>
        <w:tc>
          <w:tcPr>
            <w:tcW w:w="928" w:type="dxa"/>
            <w:shd w:val="clear" w:color="auto" w:fill="auto"/>
            <w:vAlign w:val="center"/>
          </w:tcPr>
          <w:p>
            <w:pPr>
              <w:spacing w:line="300" w:lineRule="exact"/>
              <w:jc w:val="right"/>
              <w:rPr>
                <w:rFonts w:ascii="方正书宋_GBK" w:eastAsia="方正书宋_GBK"/>
                <w:b/>
              </w:rPr>
            </w:pPr>
            <w:r>
              <w:rPr>
                <w:rFonts w:ascii="方正书宋_GBK" w:eastAsia="方正书宋_GBK"/>
                <w:b/>
              </w:rPr>
              <w:t>12.50</w:t>
            </w:r>
          </w:p>
        </w:tc>
        <w:tc>
          <w:tcPr>
            <w:tcW w:w="928" w:type="dxa"/>
            <w:shd w:val="clear" w:color="auto" w:fill="auto"/>
            <w:vAlign w:val="center"/>
          </w:tcPr>
          <w:p>
            <w:pPr>
              <w:spacing w:line="300" w:lineRule="exact"/>
              <w:jc w:val="right"/>
              <w:rPr>
                <w:rFonts w:ascii="方正书宋_GBK" w:eastAsia="方正书宋_GBK"/>
                <w:b/>
              </w:rPr>
            </w:pPr>
            <w:r>
              <w:rPr>
                <w:rFonts w:ascii="方正书宋_GBK" w:eastAsia="方正书宋_GBK"/>
                <w:b/>
              </w:rPr>
              <w:t>12.50</w:t>
            </w:r>
          </w:p>
        </w:tc>
        <w:tc>
          <w:tcPr>
            <w:tcW w:w="928" w:type="dxa"/>
            <w:shd w:val="clear" w:color="auto" w:fill="auto"/>
            <w:vAlign w:val="center"/>
          </w:tcPr>
          <w:p>
            <w:pPr>
              <w:spacing w:line="300" w:lineRule="exact"/>
              <w:jc w:val="right"/>
              <w:rPr>
                <w:rFonts w:ascii="方正书宋_GBK" w:eastAsia="方正书宋_GBK"/>
                <w:b/>
              </w:rPr>
            </w:pPr>
          </w:p>
        </w:tc>
        <w:tc>
          <w:tcPr>
            <w:tcW w:w="928" w:type="dxa"/>
            <w:shd w:val="clear" w:color="auto" w:fill="auto"/>
            <w:vAlign w:val="center"/>
          </w:tcPr>
          <w:p>
            <w:pPr>
              <w:spacing w:line="300" w:lineRule="exact"/>
              <w:jc w:val="right"/>
              <w:rPr>
                <w:rFonts w:ascii="方正书宋_GBK" w:eastAsia="方正书宋_GBK"/>
                <w:b/>
              </w:rPr>
            </w:pPr>
          </w:p>
        </w:tc>
        <w:tc>
          <w:tcPr>
            <w:tcW w:w="934" w:type="dxa"/>
            <w:shd w:val="clear" w:color="auto" w:fill="auto"/>
            <w:vAlign w:val="center"/>
          </w:tcPr>
          <w:p>
            <w:pPr>
              <w:spacing w:line="300" w:lineRule="exact"/>
              <w:jc w:val="right"/>
              <w:rPr>
                <w:rFonts w:ascii="方正书宋_GBK" w:eastAsia="方正书宋_GBK"/>
                <w:b/>
              </w:rPr>
            </w:pPr>
          </w:p>
        </w:tc>
        <w:tc>
          <w:tcPr>
            <w:tcW w:w="869"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机构改革及重点领域管理体制改革经费</w:t>
            </w:r>
          </w:p>
        </w:tc>
        <w:tc>
          <w:tcPr>
            <w:tcW w:w="1126"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9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526"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9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28" w:type="dxa"/>
            <w:shd w:val="clear" w:color="auto" w:fill="auto"/>
            <w:vAlign w:val="center"/>
          </w:tcPr>
          <w:p>
            <w:pPr>
              <w:spacing w:line="300" w:lineRule="exact"/>
              <w:jc w:val="righ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p>
        </w:tc>
        <w:tc>
          <w:tcPr>
            <w:tcW w:w="934" w:type="dxa"/>
            <w:shd w:val="clear" w:color="auto" w:fill="auto"/>
            <w:vAlign w:val="center"/>
          </w:tcPr>
          <w:p>
            <w:pPr>
              <w:spacing w:line="300" w:lineRule="exact"/>
              <w:jc w:val="right"/>
              <w:rPr>
                <w:rFonts w:ascii="方正书宋_GBK" w:eastAsia="方正书宋_GBK"/>
              </w:rPr>
            </w:pPr>
          </w:p>
        </w:tc>
        <w:tc>
          <w:tcPr>
            <w:tcW w:w="86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信息平台升级维护经费</w:t>
            </w:r>
          </w:p>
        </w:tc>
        <w:tc>
          <w:tcPr>
            <w:tcW w:w="1126"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存储设备</w:t>
            </w:r>
          </w:p>
        </w:tc>
        <w:tc>
          <w:tcPr>
            <w:tcW w:w="1526" w:type="dxa"/>
            <w:shd w:val="clear" w:color="auto" w:fill="auto"/>
            <w:vAlign w:val="center"/>
          </w:tcPr>
          <w:p>
            <w:pPr>
              <w:spacing w:line="300" w:lineRule="exact"/>
              <w:jc w:val="left"/>
              <w:rPr>
                <w:rFonts w:ascii="方正书宋_GBK" w:eastAsia="方正书宋_GBK"/>
              </w:rPr>
            </w:pPr>
            <w:r>
              <w:rPr>
                <w:rFonts w:ascii="方正书宋_GBK" w:eastAsia="方正书宋_GBK"/>
              </w:rPr>
              <w:t>A020105</w:t>
            </w:r>
          </w:p>
        </w:tc>
        <w:tc>
          <w:tcPr>
            <w:tcW w:w="9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块</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928" w:type="dxa"/>
            <w:shd w:val="clear" w:color="auto" w:fill="auto"/>
            <w:vAlign w:val="center"/>
          </w:tcPr>
          <w:p>
            <w:pPr>
              <w:spacing w:line="300" w:lineRule="exact"/>
              <w:jc w:val="righ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p>
        </w:tc>
        <w:tc>
          <w:tcPr>
            <w:tcW w:w="934" w:type="dxa"/>
            <w:shd w:val="clear" w:color="auto" w:fill="auto"/>
            <w:vAlign w:val="center"/>
          </w:tcPr>
          <w:p>
            <w:pPr>
              <w:spacing w:line="300" w:lineRule="exact"/>
              <w:jc w:val="right"/>
              <w:rPr>
                <w:rFonts w:ascii="方正书宋_GBK" w:eastAsia="方正书宋_GBK"/>
              </w:rPr>
            </w:pPr>
          </w:p>
        </w:tc>
        <w:tc>
          <w:tcPr>
            <w:tcW w:w="86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信息平台升级维护经费</w:t>
            </w:r>
          </w:p>
        </w:tc>
        <w:tc>
          <w:tcPr>
            <w:tcW w:w="1126"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存储设备</w:t>
            </w:r>
          </w:p>
        </w:tc>
        <w:tc>
          <w:tcPr>
            <w:tcW w:w="1526" w:type="dxa"/>
            <w:shd w:val="clear" w:color="auto" w:fill="auto"/>
            <w:vAlign w:val="center"/>
          </w:tcPr>
          <w:p>
            <w:pPr>
              <w:spacing w:line="300" w:lineRule="exact"/>
              <w:jc w:val="left"/>
              <w:rPr>
                <w:rFonts w:ascii="方正书宋_GBK" w:eastAsia="方正书宋_GBK"/>
              </w:rPr>
            </w:pPr>
            <w:r>
              <w:rPr>
                <w:rFonts w:ascii="方正书宋_GBK" w:eastAsia="方正书宋_GBK"/>
              </w:rPr>
              <w:t>A020105</w:t>
            </w:r>
          </w:p>
        </w:tc>
        <w:tc>
          <w:tcPr>
            <w:tcW w:w="9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条</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12</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928" w:type="dxa"/>
            <w:shd w:val="clear" w:color="auto" w:fill="auto"/>
            <w:vAlign w:val="center"/>
          </w:tcPr>
          <w:p>
            <w:pPr>
              <w:spacing w:line="300" w:lineRule="exact"/>
              <w:jc w:val="righ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p>
        </w:tc>
        <w:tc>
          <w:tcPr>
            <w:tcW w:w="934" w:type="dxa"/>
            <w:shd w:val="clear" w:color="auto" w:fill="auto"/>
            <w:vAlign w:val="center"/>
          </w:tcPr>
          <w:p>
            <w:pPr>
              <w:spacing w:line="300" w:lineRule="exact"/>
              <w:jc w:val="right"/>
              <w:rPr>
                <w:rFonts w:ascii="方正书宋_GBK" w:eastAsia="方正书宋_GBK"/>
              </w:rPr>
            </w:pPr>
          </w:p>
        </w:tc>
        <w:tc>
          <w:tcPr>
            <w:tcW w:w="86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设备购置经费</w:t>
            </w:r>
          </w:p>
        </w:tc>
        <w:tc>
          <w:tcPr>
            <w:tcW w:w="1126"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9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6"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9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928" w:type="dxa"/>
            <w:shd w:val="clear" w:color="auto" w:fill="auto"/>
            <w:vAlign w:val="center"/>
          </w:tcPr>
          <w:p>
            <w:pPr>
              <w:spacing w:line="300" w:lineRule="exact"/>
              <w:jc w:val="righ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p>
        </w:tc>
        <w:tc>
          <w:tcPr>
            <w:tcW w:w="934" w:type="dxa"/>
            <w:shd w:val="clear" w:color="auto" w:fill="auto"/>
            <w:vAlign w:val="center"/>
          </w:tcPr>
          <w:p>
            <w:pPr>
              <w:spacing w:line="300" w:lineRule="exact"/>
              <w:jc w:val="right"/>
              <w:rPr>
                <w:rFonts w:ascii="方正书宋_GBK" w:eastAsia="方正书宋_GBK"/>
              </w:rPr>
            </w:pPr>
          </w:p>
        </w:tc>
        <w:tc>
          <w:tcPr>
            <w:tcW w:w="86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设备购置经费</w:t>
            </w:r>
          </w:p>
        </w:tc>
        <w:tc>
          <w:tcPr>
            <w:tcW w:w="1126"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9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6"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9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928" w:type="dxa"/>
            <w:shd w:val="clear" w:color="auto" w:fill="auto"/>
            <w:vAlign w:val="center"/>
          </w:tcPr>
          <w:p>
            <w:pPr>
              <w:spacing w:line="300" w:lineRule="exact"/>
              <w:jc w:val="righ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p>
        </w:tc>
        <w:tc>
          <w:tcPr>
            <w:tcW w:w="934" w:type="dxa"/>
            <w:shd w:val="clear" w:color="auto" w:fill="auto"/>
            <w:vAlign w:val="center"/>
          </w:tcPr>
          <w:p>
            <w:pPr>
              <w:spacing w:line="300" w:lineRule="exact"/>
              <w:jc w:val="right"/>
              <w:rPr>
                <w:rFonts w:ascii="方正书宋_GBK" w:eastAsia="方正书宋_GBK"/>
              </w:rPr>
            </w:pPr>
          </w:p>
        </w:tc>
        <w:tc>
          <w:tcPr>
            <w:tcW w:w="86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设备购置经费</w:t>
            </w:r>
          </w:p>
        </w:tc>
        <w:tc>
          <w:tcPr>
            <w:tcW w:w="1126"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9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6"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9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928" w:type="dxa"/>
            <w:shd w:val="clear" w:color="auto" w:fill="auto"/>
            <w:vAlign w:val="center"/>
          </w:tcPr>
          <w:p>
            <w:pPr>
              <w:spacing w:line="300" w:lineRule="exact"/>
              <w:jc w:val="righ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p>
        </w:tc>
        <w:tc>
          <w:tcPr>
            <w:tcW w:w="934" w:type="dxa"/>
            <w:shd w:val="clear" w:color="auto" w:fill="auto"/>
            <w:vAlign w:val="center"/>
          </w:tcPr>
          <w:p>
            <w:pPr>
              <w:spacing w:line="300" w:lineRule="exact"/>
              <w:jc w:val="right"/>
              <w:rPr>
                <w:rFonts w:ascii="方正书宋_GBK" w:eastAsia="方正书宋_GBK"/>
              </w:rPr>
            </w:pPr>
          </w:p>
        </w:tc>
        <w:tc>
          <w:tcPr>
            <w:tcW w:w="86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设备购置经费</w:t>
            </w:r>
          </w:p>
        </w:tc>
        <w:tc>
          <w:tcPr>
            <w:tcW w:w="1126"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9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526"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9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928" w:type="dxa"/>
            <w:shd w:val="clear" w:color="auto" w:fill="auto"/>
            <w:vAlign w:val="center"/>
          </w:tcPr>
          <w:p>
            <w:pPr>
              <w:spacing w:line="300" w:lineRule="exact"/>
              <w:jc w:val="righ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p>
        </w:tc>
        <w:tc>
          <w:tcPr>
            <w:tcW w:w="934" w:type="dxa"/>
            <w:shd w:val="clear" w:color="auto" w:fill="auto"/>
            <w:vAlign w:val="center"/>
          </w:tcPr>
          <w:p>
            <w:pPr>
              <w:spacing w:line="300" w:lineRule="exact"/>
              <w:jc w:val="right"/>
              <w:rPr>
                <w:rFonts w:ascii="方正书宋_GBK" w:eastAsia="方正书宋_GBK"/>
              </w:rPr>
            </w:pPr>
          </w:p>
        </w:tc>
        <w:tc>
          <w:tcPr>
            <w:tcW w:w="86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设备购置经费</w:t>
            </w:r>
          </w:p>
        </w:tc>
        <w:tc>
          <w:tcPr>
            <w:tcW w:w="1126"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9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26"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9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928" w:type="dxa"/>
            <w:shd w:val="clear" w:color="auto" w:fill="auto"/>
            <w:vAlign w:val="center"/>
          </w:tcPr>
          <w:p>
            <w:pPr>
              <w:spacing w:line="300" w:lineRule="exact"/>
              <w:jc w:val="righ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p>
        </w:tc>
        <w:tc>
          <w:tcPr>
            <w:tcW w:w="934" w:type="dxa"/>
            <w:shd w:val="clear" w:color="auto" w:fill="auto"/>
            <w:vAlign w:val="center"/>
          </w:tcPr>
          <w:p>
            <w:pPr>
              <w:spacing w:line="300" w:lineRule="exact"/>
              <w:jc w:val="right"/>
              <w:rPr>
                <w:rFonts w:ascii="方正书宋_GBK" w:eastAsia="方正书宋_GBK"/>
              </w:rPr>
            </w:pPr>
          </w:p>
        </w:tc>
        <w:tc>
          <w:tcPr>
            <w:tcW w:w="86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设备购置经费</w:t>
            </w:r>
          </w:p>
        </w:tc>
        <w:tc>
          <w:tcPr>
            <w:tcW w:w="1126"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9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传真通信设备</w:t>
            </w:r>
          </w:p>
        </w:tc>
        <w:tc>
          <w:tcPr>
            <w:tcW w:w="1526"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9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928" w:type="dxa"/>
            <w:shd w:val="clear" w:color="auto" w:fill="auto"/>
            <w:vAlign w:val="center"/>
          </w:tcPr>
          <w:p>
            <w:pPr>
              <w:spacing w:line="300" w:lineRule="exact"/>
              <w:jc w:val="righ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p>
        </w:tc>
        <w:tc>
          <w:tcPr>
            <w:tcW w:w="934" w:type="dxa"/>
            <w:shd w:val="clear" w:color="auto" w:fill="auto"/>
            <w:vAlign w:val="center"/>
          </w:tcPr>
          <w:p>
            <w:pPr>
              <w:spacing w:line="300" w:lineRule="exact"/>
              <w:jc w:val="right"/>
              <w:rPr>
                <w:rFonts w:ascii="方正书宋_GBK" w:eastAsia="方正书宋_GBK"/>
              </w:rPr>
            </w:pPr>
          </w:p>
        </w:tc>
        <w:tc>
          <w:tcPr>
            <w:tcW w:w="869"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信息平台升级维护经费</w:t>
            </w:r>
          </w:p>
        </w:tc>
        <w:tc>
          <w:tcPr>
            <w:tcW w:w="1126"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927" w:type="dxa"/>
            <w:shd w:val="clear" w:color="auto" w:fill="auto"/>
            <w:vAlign w:val="center"/>
          </w:tcPr>
          <w:p>
            <w:pPr>
              <w:spacing w:line="300" w:lineRule="exact"/>
              <w:jc w:val="left"/>
              <w:rPr>
                <w:rFonts w:ascii="方正书宋_GBK" w:eastAsia="方正书宋_GBK"/>
              </w:rPr>
            </w:pPr>
            <w:r>
              <w:rPr>
                <w:rFonts w:ascii="方正书宋_GBK" w:eastAsia="方正书宋_GBK"/>
              </w:rPr>
              <w:t>KVM</w:t>
            </w:r>
            <w:r>
              <w:rPr>
                <w:rFonts w:hint="eastAsia" w:ascii="方正书宋_GBK" w:eastAsia="方正书宋_GBK"/>
              </w:rPr>
              <w:t>设备</w:t>
            </w:r>
          </w:p>
        </w:tc>
        <w:tc>
          <w:tcPr>
            <w:tcW w:w="1526" w:type="dxa"/>
            <w:shd w:val="clear" w:color="auto" w:fill="auto"/>
            <w:vAlign w:val="center"/>
          </w:tcPr>
          <w:p>
            <w:pPr>
              <w:spacing w:line="300" w:lineRule="exact"/>
              <w:jc w:val="left"/>
              <w:rPr>
                <w:rFonts w:ascii="方正书宋_GBK" w:eastAsia="方正书宋_GBK"/>
              </w:rPr>
            </w:pPr>
            <w:r>
              <w:rPr>
                <w:rFonts w:ascii="方正书宋_GBK" w:eastAsia="方正书宋_GBK"/>
              </w:rPr>
              <w:t>A02010605</w:t>
            </w:r>
          </w:p>
        </w:tc>
        <w:tc>
          <w:tcPr>
            <w:tcW w:w="928" w:type="dxa"/>
            <w:shd w:val="clear" w:color="auto" w:fill="auto"/>
            <w:vAlign w:val="center"/>
          </w:tcPr>
          <w:p>
            <w:pPr>
              <w:spacing w:line="300" w:lineRule="exact"/>
              <w:jc w:val="lef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61"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928"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928" w:type="dxa"/>
            <w:shd w:val="clear" w:color="auto" w:fill="auto"/>
            <w:vAlign w:val="center"/>
          </w:tcPr>
          <w:p>
            <w:pPr>
              <w:spacing w:line="300" w:lineRule="exact"/>
              <w:jc w:val="right"/>
              <w:rPr>
                <w:rFonts w:ascii="方正书宋_GBK" w:eastAsia="方正书宋_GBK"/>
              </w:rPr>
            </w:pPr>
          </w:p>
        </w:tc>
        <w:tc>
          <w:tcPr>
            <w:tcW w:w="928" w:type="dxa"/>
            <w:shd w:val="clear" w:color="auto" w:fill="auto"/>
            <w:vAlign w:val="center"/>
          </w:tcPr>
          <w:p>
            <w:pPr>
              <w:spacing w:line="300" w:lineRule="exact"/>
              <w:jc w:val="right"/>
              <w:rPr>
                <w:rFonts w:ascii="方正书宋_GBK" w:eastAsia="方正书宋_GBK"/>
              </w:rPr>
            </w:pPr>
          </w:p>
        </w:tc>
        <w:tc>
          <w:tcPr>
            <w:tcW w:w="934" w:type="dxa"/>
            <w:shd w:val="clear" w:color="auto" w:fill="auto"/>
            <w:vAlign w:val="center"/>
          </w:tcPr>
          <w:p>
            <w:pPr>
              <w:spacing w:line="300" w:lineRule="exact"/>
              <w:jc w:val="right"/>
              <w:rPr>
                <w:rFonts w:ascii="方正书宋_GBK" w:eastAsia="方正书宋_GBK"/>
              </w:rPr>
            </w:pPr>
          </w:p>
        </w:tc>
        <w:tc>
          <w:tcPr>
            <w:tcW w:w="869"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ind w:left="198" w:firstLine="640" w:firstLineChars="200"/>
        <w:jc w:val="left"/>
        <w:rPr>
          <w:rFonts w:ascii="黑体" w:hAnsi="黑体" w:eastAsia="黑体"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廊坊市机构编制委员会办公室（含所属单位）上年末固定资产金额为183.02万元，本年度我办拟购置固定资产12.5万元，主要为计算机设备、打印设备、空调等，已列入政府采购预算。详见下表。</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kern w:val="0"/>
                <w:sz w:val="32"/>
                <w:szCs w:val="32"/>
              </w:rPr>
              <w:t>廊坊市机构编制委员会办公室</w:t>
            </w: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编制部门：廊坊市机构编制委员会办公室</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截止时间：2016年12月31日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183.02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39.37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143.65</w:t>
            </w:r>
          </w:p>
          <w:p>
            <w:pPr>
              <w:widowControl/>
              <w:jc w:val="center"/>
              <w:rPr>
                <w:rFonts w:ascii="宋体" w:hAnsi="宋体" w:eastAsia="宋体" w:cs="宋体"/>
                <w:kern w:val="0"/>
                <w:sz w:val="22"/>
              </w:rPr>
            </w:pPr>
          </w:p>
        </w:tc>
      </w:tr>
    </w:tbl>
    <w:p>
      <w:pPr>
        <w:autoSpaceDE w:val="0"/>
        <w:autoSpaceDN w:val="0"/>
        <w:adjustRightInd w:val="0"/>
        <w:ind w:firstLine="643" w:firstLineChars="200"/>
        <w:jc w:val="left"/>
        <w:rPr>
          <w:rFonts w:ascii="黑体" w:hAnsi="黑体" w:eastAsia="黑体" w:cs="黑体"/>
          <w:b/>
          <w:color w:val="000000"/>
          <w:kern w:val="0"/>
          <w:sz w:val="32"/>
          <w:szCs w:val="32"/>
        </w:rPr>
      </w:pPr>
      <w:r>
        <w:rPr>
          <w:rFonts w:ascii="黑体" w:hAnsi="黑体" w:eastAsia="黑体" w:cs="黑体"/>
          <w:b/>
          <w:color w:val="000000"/>
          <w:kern w:val="0"/>
          <w:sz w:val="32"/>
          <w:szCs w:val="32"/>
        </w:rPr>
        <w:t>八、名词解释</w:t>
      </w:r>
    </w:p>
    <w:p>
      <w:pPr>
        <w:pStyle w:val="14"/>
        <w:rPr>
          <w:rFonts w:hint="eastAsia" w:ascii="仿宋_GB2312" w:eastAsia="仿宋_GB2312"/>
          <w:b/>
          <w:bCs/>
          <w:sz w:val="32"/>
          <w:szCs w:val="32"/>
        </w:rPr>
      </w:pPr>
      <w:r>
        <w:rPr>
          <w:rFonts w:hint="eastAsia"/>
          <w:b/>
          <w:bCs/>
          <w:sz w:val="32"/>
          <w:szCs w:val="32"/>
        </w:rPr>
        <w:t xml:space="preserve">    </w:t>
      </w: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、一般公共预算拨款收入：指市级财政当年拨付的资金。</w:t>
      </w:r>
    </w:p>
    <w:p>
      <w:pPr>
        <w:pStyle w:val="14"/>
        <w:rPr>
          <w:rFonts w:hint="eastAsia"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4"/>
        <w:rPr>
          <w:rFonts w:hint="eastAsia"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4"/>
        <w:rPr>
          <w:rFonts w:hint="eastAsia"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hint="eastAsia"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4"/>
        <w:rPr>
          <w:rFonts w:hint="eastAsia"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4"/>
        <w:rPr>
          <w:rFonts w:hint="eastAsia"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经费：纳入市级财政预算管理的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sz w:val="32"/>
          <w:szCs w:val="32"/>
        </w:rPr>
      </w:pPr>
      <w:bookmarkStart w:id="2" w:name="_GoBack"/>
      <w:bookmarkEnd w:id="2"/>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tabs>
          <w:tab w:val="left" w:pos="11490"/>
        </w:tabs>
        <w:ind w:firstLine="643" w:firstLineChars="200"/>
        <w:rPr>
          <w:rFonts w:ascii="Times New Roman" w:hAnsi="Times New Roman" w:eastAsia="方正仿宋_GBK" w:cs="Times New Roman"/>
          <w:b/>
          <w:sz w:val="32"/>
          <w:szCs w:val="32"/>
        </w:rPr>
      </w:pPr>
      <w:r>
        <w:rPr>
          <w:rFonts w:hint="eastAsia" w:ascii="黑体" w:hAnsi="黑体" w:eastAsia="黑体" w:cs="黑体"/>
          <w:b/>
          <w:sz w:val="32"/>
          <w:szCs w:val="32"/>
        </w:rPr>
        <w:t>九、其它需要说明的事项</w:t>
      </w:r>
    </w:p>
    <w:p>
      <w:pPr>
        <w:tabs>
          <w:tab w:val="left" w:pos="11490"/>
        </w:tabs>
        <w:ind w:firstLine="640" w:firstLineChars="200"/>
        <w:rPr>
          <w:rFonts w:hint="eastAsia" w:ascii="仿宋" w:hAnsi="仿宋" w:eastAsia="仿宋" w:cs="仿宋"/>
          <w:sz w:val="32"/>
          <w:szCs w:val="32"/>
        </w:rPr>
      </w:pPr>
      <w:r>
        <w:rPr>
          <w:rFonts w:hint="eastAsia" w:ascii="仿宋" w:hAnsi="仿宋" w:eastAsia="仿宋" w:cs="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Candara">
    <w:panose1 w:val="020E0502030303020204"/>
    <w:charset w:val="00"/>
    <w:family w:val="auto"/>
    <w:pitch w:val="default"/>
    <w:sig w:usb0="A00002EF" w:usb1="4000A44B" w:usb2="00000000" w:usb3="00000000" w:csb0="2000019F" w:csb1="00000000"/>
  </w:font>
  <w:font w:name="Castellar">
    <w:panose1 w:val="020A0402060406010301"/>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ranklin Gothic Medium Cond">
    <w:panose1 w:val="020B0606030402020204"/>
    <w:charset w:val="00"/>
    <w:family w:val="auto"/>
    <w:pitch w:val="default"/>
    <w:sig w:usb0="00000287" w:usb1="00000000" w:usb2="00000000" w:usb3="00000000" w:csb0="2000009F" w:csb1="DFD70000"/>
  </w:font>
  <w:font w:name="Gadugi">
    <w:panose1 w:val="020B0502040204020203"/>
    <w:charset w:val="00"/>
    <w:family w:val="auto"/>
    <w:pitch w:val="default"/>
    <w:sig w:usb0="00000003" w:usb1="00000000" w:usb2="00003000" w:usb3="00000000" w:csb0="00000001" w:csb1="00000000"/>
  </w:font>
  <w:font w:name="Gill Sans MT Ext Condensed Bold">
    <w:panose1 w:val="020B0902020104020203"/>
    <w:charset w:val="00"/>
    <w:family w:val="auto"/>
    <w:pitch w:val="default"/>
    <w:sig w:usb0="00000003" w:usb1="00000000" w:usb2="00000000" w:usb3="00000000" w:csb0="20000003" w:csb1="00000000"/>
  </w:font>
  <w:font w:name="Goudy Old Style">
    <w:panose1 w:val="02020502050305020303"/>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unstler Script">
    <w:panose1 w:val="030304020206070D0D06"/>
    <w:charset w:val="00"/>
    <w:family w:val="auto"/>
    <w:pitch w:val="default"/>
    <w:sig w:usb0="00000003"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panose1 w:val="02040602050505020304"/>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stral">
    <w:panose1 w:val="03090702030407020403"/>
    <w:charset w:val="00"/>
    <w:family w:val="auto"/>
    <w:pitch w:val="default"/>
    <w:sig w:usb0="00000287" w:usb1="00000000" w:usb2="00000000" w:usb3="00000000" w:csb0="2000009F" w:csb1="DFD70000"/>
  </w:font>
  <w:font w:name="Miriam Fixed">
    <w:panose1 w:val="020B0509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Narkisim">
    <w:panose1 w:val="020E0502050101010101"/>
    <w:charset w:val="00"/>
    <w:family w:val="auto"/>
    <w:pitch w:val="default"/>
    <w:sig w:usb0="00000801" w:usb1="00000000" w:usb2="00000000" w:usb3="00000000" w:csb0="00000020" w:csb1="00200000"/>
  </w:font>
  <w:font w:name="Old English Text MT">
    <w:panose1 w:val="03040902040508030806"/>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implified Arabic">
    <w:panose1 w:val="02020603050405020304"/>
    <w:charset w:val="00"/>
    <w:family w:val="auto"/>
    <w:pitch w:val="default"/>
    <w:sig w:usb0="00002003" w:usb1="00000000" w:usb2="00000000" w:usb3="00000000" w:csb0="00000041" w:csb1="20080000"/>
  </w:font>
  <w:font w:name="Tahoma">
    <w:panose1 w:val="020B0604030504040204"/>
    <w:charset w:val="00"/>
    <w:family w:val="auto"/>
    <w:pitch w:val="default"/>
    <w:sig w:usb0="E1002EFF" w:usb1="C000605B" w:usb2="00000029" w:usb3="00000000" w:csb0="200101FF" w:csb1="20280000"/>
  </w:font>
  <w:font w:name="Tunga">
    <w:panose1 w:val="020B0502040204020203"/>
    <w:charset w:val="00"/>
    <w:family w:val="auto"/>
    <w:pitch w:val="default"/>
    <w:sig w:usb0="00400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Vani">
    <w:panose1 w:val="020B0502040204020203"/>
    <w:charset w:val="00"/>
    <w:family w:val="auto"/>
    <w:pitch w:val="default"/>
    <w:sig w:usb0="002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Utsaah">
    <w:panose1 w:val="020B0604020202020204"/>
    <w:charset w:val="00"/>
    <w:family w:val="auto"/>
    <w:pitch w:val="default"/>
    <w:sig w:usb0="00008003"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姚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FZFangSong-Z02">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11719"/>
    <w:rsid w:val="00037AF6"/>
    <w:rsid w:val="00045A61"/>
    <w:rsid w:val="00075D5F"/>
    <w:rsid w:val="000954BE"/>
    <w:rsid w:val="000C3A19"/>
    <w:rsid w:val="000D157D"/>
    <w:rsid w:val="000E2AE3"/>
    <w:rsid w:val="001245BB"/>
    <w:rsid w:val="0018479D"/>
    <w:rsid w:val="002410AC"/>
    <w:rsid w:val="00241FD4"/>
    <w:rsid w:val="00242FE9"/>
    <w:rsid w:val="00251B12"/>
    <w:rsid w:val="002645FB"/>
    <w:rsid w:val="00296113"/>
    <w:rsid w:val="002F3E58"/>
    <w:rsid w:val="003036B3"/>
    <w:rsid w:val="0030542C"/>
    <w:rsid w:val="00311B7A"/>
    <w:rsid w:val="003370EA"/>
    <w:rsid w:val="003E1A7F"/>
    <w:rsid w:val="00451871"/>
    <w:rsid w:val="00472923"/>
    <w:rsid w:val="0048102A"/>
    <w:rsid w:val="004A7CC9"/>
    <w:rsid w:val="004B3235"/>
    <w:rsid w:val="004E3066"/>
    <w:rsid w:val="004E4A33"/>
    <w:rsid w:val="004E74CD"/>
    <w:rsid w:val="00573562"/>
    <w:rsid w:val="00595881"/>
    <w:rsid w:val="005B7119"/>
    <w:rsid w:val="0060388A"/>
    <w:rsid w:val="00614A29"/>
    <w:rsid w:val="00654B2F"/>
    <w:rsid w:val="006D4509"/>
    <w:rsid w:val="0075393C"/>
    <w:rsid w:val="00776C08"/>
    <w:rsid w:val="007B4EE0"/>
    <w:rsid w:val="007C2BDC"/>
    <w:rsid w:val="007C446D"/>
    <w:rsid w:val="007E1DA8"/>
    <w:rsid w:val="007F6C26"/>
    <w:rsid w:val="008334AE"/>
    <w:rsid w:val="00836FED"/>
    <w:rsid w:val="00837506"/>
    <w:rsid w:val="00845CD2"/>
    <w:rsid w:val="008502D8"/>
    <w:rsid w:val="00852B0D"/>
    <w:rsid w:val="008634EF"/>
    <w:rsid w:val="00881692"/>
    <w:rsid w:val="008B3CC5"/>
    <w:rsid w:val="008C2BAF"/>
    <w:rsid w:val="008E4261"/>
    <w:rsid w:val="008F4662"/>
    <w:rsid w:val="00905D08"/>
    <w:rsid w:val="00925753"/>
    <w:rsid w:val="00966C5C"/>
    <w:rsid w:val="00973104"/>
    <w:rsid w:val="00A17E06"/>
    <w:rsid w:val="00A72D2E"/>
    <w:rsid w:val="00A911E7"/>
    <w:rsid w:val="00A939D9"/>
    <w:rsid w:val="00B20712"/>
    <w:rsid w:val="00B23C55"/>
    <w:rsid w:val="00B43238"/>
    <w:rsid w:val="00B75216"/>
    <w:rsid w:val="00B91D52"/>
    <w:rsid w:val="00BA1ACD"/>
    <w:rsid w:val="00BC2337"/>
    <w:rsid w:val="00BD7CF9"/>
    <w:rsid w:val="00CA7176"/>
    <w:rsid w:val="00CD2773"/>
    <w:rsid w:val="00CD4C6B"/>
    <w:rsid w:val="00CE143B"/>
    <w:rsid w:val="00DC28E7"/>
    <w:rsid w:val="00DC63E2"/>
    <w:rsid w:val="00E167C7"/>
    <w:rsid w:val="00EC47F6"/>
    <w:rsid w:val="00EE1B43"/>
    <w:rsid w:val="00F153EF"/>
    <w:rsid w:val="00F66032"/>
    <w:rsid w:val="00F958C2"/>
    <w:rsid w:val="00FC15AB"/>
    <w:rsid w:val="1FA60553"/>
    <w:rsid w:val="2192470A"/>
    <w:rsid w:val="3B867E0F"/>
    <w:rsid w:val="4CD96F6A"/>
    <w:rsid w:val="53003C31"/>
    <w:rsid w:val="5B0B12D2"/>
    <w:rsid w:val="6D4E38BA"/>
    <w:rsid w:val="702F0F74"/>
    <w:rsid w:val="76D247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0"/>
    <w:rPr>
      <w:rFonts w:ascii="Times New Roman" w:hAnsi="Times New Roman" w:eastAsia="宋体" w:cs="Times New Roman"/>
      <w:szCs w:val="24"/>
    </w:rPr>
  </w:style>
  <w:style w:type="paragraph" w:styleId="7">
    <w:name w:val="index 7"/>
    <w:basedOn w:val="1"/>
    <w:next w:val="1"/>
    <w:qFormat/>
    <w:uiPriority w:val="0"/>
    <w:pPr>
      <w:ind w:left="2520"/>
    </w:pPr>
    <w:rPr>
      <w:rFonts w:ascii="Times New Roman" w:hAnsi="Times New Roman" w:eastAsia="宋体" w:cs="Times New Roman"/>
    </w:rPr>
  </w:style>
  <w:style w:type="paragraph" w:styleId="8">
    <w:name w:val="toc 2"/>
    <w:basedOn w:val="1"/>
    <w:next w:val="1"/>
    <w:qFormat/>
    <w:uiPriority w:val="0"/>
    <w:pPr>
      <w:ind w:left="420" w:leftChars="200"/>
    </w:pPr>
    <w:rPr>
      <w:rFonts w:ascii="Times New Roman" w:hAnsi="Times New Roman" w:eastAsia="宋体" w:cs="Times New Roman"/>
      <w:szCs w:val="24"/>
    </w:rPr>
  </w:style>
  <w:style w:type="character" w:customStyle="1" w:styleId="11">
    <w:name w:val="页眉 Char"/>
    <w:basedOn w:val="9"/>
    <w:link w:val="5"/>
    <w:qFormat/>
    <w:uiPriority w:val="0"/>
    <w:rPr>
      <w:rFonts w:ascii="Times New Roman" w:hAnsi="Times New Roman" w:eastAsia="宋体" w:cs="Times New Roman"/>
      <w:sz w:val="18"/>
      <w:szCs w:val="18"/>
    </w:rPr>
  </w:style>
  <w:style w:type="character" w:customStyle="1" w:styleId="12">
    <w:name w:val="页脚 Char"/>
    <w:basedOn w:val="9"/>
    <w:link w:val="4"/>
    <w:qFormat/>
    <w:uiPriority w:val="0"/>
    <w:rPr>
      <w:rFonts w:ascii="Times New Roman" w:hAnsi="Times New Roman" w:eastAsia="宋体" w:cs="Times New Roman"/>
      <w:sz w:val="18"/>
      <w:szCs w:val="18"/>
    </w:rPr>
  </w:style>
  <w:style w:type="paragraph" w:customStyle="1" w:styleId="13">
    <w:name w:val="p0"/>
    <w:next w:val="7"/>
    <w:qFormat/>
    <w:uiPriority w:val="0"/>
    <w:rPr>
      <w:rFonts w:ascii="Times New Roman" w:hAnsi="Times New Roman" w:eastAsia="宋体" w:cs="Times New Roman"/>
      <w:kern w:val="0"/>
      <w:sz w:val="21"/>
      <w:szCs w:val="21"/>
      <w:lang w:val="en-US" w:eastAsia="zh-CN" w:bidi="ar-SA"/>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16</Pages>
  <Words>1128</Words>
  <Characters>6430</Characters>
  <Lines>53</Lines>
  <Paragraphs>15</Paragraphs>
  <ScaleCrop>false</ScaleCrop>
  <LinksUpToDate>false</LinksUpToDate>
  <CharactersWithSpaces>7543</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321</cp:lastModifiedBy>
  <dcterms:modified xsi:type="dcterms:W3CDTF">2017-05-12T03:35:46Z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